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471A" w14:textId="4E45F846" w:rsidR="00CC6E63" w:rsidRPr="00CC6E63" w:rsidRDefault="00CC6E63" w:rsidP="00CC6E63">
      <w:pPr>
        <w:spacing w:line="360" w:lineRule="auto"/>
        <w:jc w:val="both"/>
        <w:rPr>
          <w:rFonts w:ascii="Arial" w:hAnsi="Arial" w:cs="Arial"/>
          <w:sz w:val="22"/>
          <w:szCs w:val="22"/>
        </w:rPr>
      </w:pPr>
      <w:r w:rsidRPr="00CC6E63">
        <w:rPr>
          <w:rFonts w:ascii="Arial" w:hAnsi="Arial" w:cs="Arial"/>
          <w:sz w:val="22"/>
          <w:szCs w:val="22"/>
        </w:rPr>
        <w:t xml:space="preserve">De conformidad al Acuerdo </w:t>
      </w:r>
      <w:r w:rsidRPr="00CC6E63">
        <w:rPr>
          <w:rFonts w:ascii="Arial" w:hAnsi="Arial" w:cs="Arial"/>
          <w:b/>
          <w:bCs/>
          <w:sz w:val="22"/>
          <w:szCs w:val="22"/>
        </w:rPr>
        <w:t>1288/SE/02-10/2020</w:t>
      </w:r>
      <w:r w:rsidRPr="00CC6E63">
        <w:rPr>
          <w:rFonts w:ascii="Arial" w:hAnsi="Arial" w:cs="Arial"/>
          <w:sz w:val="22"/>
          <w:szCs w:val="22"/>
        </w:rPr>
        <w:t xml:space="preserve"> mediante el cual se adicionan y modifican</w:t>
      </w:r>
      <w:r w:rsidRPr="00CC6E63">
        <w:rPr>
          <w:rFonts w:ascii="Arial" w:hAnsi="Arial" w:cs="Arial"/>
          <w:sz w:val="22"/>
          <w:szCs w:val="22"/>
        </w:rPr>
        <w:t xml:space="preserve"> </w:t>
      </w:r>
      <w:r w:rsidRPr="00CC6E63">
        <w:rPr>
          <w:rFonts w:ascii="Arial" w:hAnsi="Arial" w:cs="Arial"/>
          <w:sz w:val="22"/>
          <w:szCs w:val="22"/>
        </w:rPr>
        <w:t>diversas disposiciones al Reglamento Interior del Instituto de Transparencia, Acceso a la Información Pública,</w:t>
      </w:r>
      <w:r w:rsidRPr="00CC6E63">
        <w:rPr>
          <w:rFonts w:ascii="Arial" w:hAnsi="Arial" w:cs="Arial"/>
          <w:sz w:val="22"/>
          <w:szCs w:val="22"/>
        </w:rPr>
        <w:t xml:space="preserve"> </w:t>
      </w:r>
      <w:r w:rsidRPr="00CC6E63">
        <w:rPr>
          <w:rFonts w:ascii="Arial" w:hAnsi="Arial" w:cs="Arial"/>
          <w:sz w:val="22"/>
          <w:szCs w:val="22"/>
        </w:rPr>
        <w:t xml:space="preserve">Protección de Datos Personales y Rendición de Cuentas de la Ciudad de </w:t>
      </w:r>
      <w:r w:rsidRPr="00CC6E63">
        <w:rPr>
          <w:rFonts w:ascii="Arial" w:hAnsi="Arial" w:cs="Arial"/>
          <w:sz w:val="22"/>
          <w:szCs w:val="22"/>
        </w:rPr>
        <w:t xml:space="preserve"> </w:t>
      </w:r>
      <w:r w:rsidRPr="00CC6E63">
        <w:rPr>
          <w:rFonts w:ascii="Arial" w:hAnsi="Arial" w:cs="Arial"/>
          <w:sz w:val="22"/>
          <w:szCs w:val="22"/>
        </w:rPr>
        <w:t xml:space="preserve">México, relativas a la facultad de las Comisionadas y los Comisionados, a través de las </w:t>
      </w:r>
      <w:r w:rsidRPr="00CC6E63">
        <w:rPr>
          <w:rFonts w:ascii="Arial" w:hAnsi="Arial" w:cs="Arial"/>
          <w:sz w:val="22"/>
          <w:szCs w:val="22"/>
        </w:rPr>
        <w:t xml:space="preserve"> </w:t>
      </w:r>
      <w:r w:rsidRPr="00CC6E63">
        <w:rPr>
          <w:rFonts w:ascii="Arial" w:hAnsi="Arial" w:cs="Arial"/>
          <w:sz w:val="22"/>
          <w:szCs w:val="22"/>
        </w:rPr>
        <w:t xml:space="preserve">respectivas Ponencias, para dar seguimiento al cumplimiento de las resoluciones que emita el </w:t>
      </w:r>
      <w:r w:rsidRPr="00CC6E63">
        <w:rPr>
          <w:rFonts w:ascii="Arial" w:hAnsi="Arial" w:cs="Arial"/>
          <w:sz w:val="22"/>
          <w:szCs w:val="22"/>
        </w:rPr>
        <w:t xml:space="preserve"> </w:t>
      </w:r>
      <w:r w:rsidRPr="00CC6E63">
        <w:rPr>
          <w:rFonts w:ascii="Arial" w:hAnsi="Arial" w:cs="Arial"/>
          <w:sz w:val="22"/>
          <w:szCs w:val="22"/>
        </w:rPr>
        <w:t>Pleno.</w:t>
      </w:r>
    </w:p>
    <w:p w14:paraId="6D52818C" w14:textId="77777777" w:rsidR="00CC6E63" w:rsidRPr="00CC6E63" w:rsidRDefault="00CC6E63" w:rsidP="00CC6E63">
      <w:pPr>
        <w:spacing w:line="360" w:lineRule="auto"/>
        <w:jc w:val="both"/>
        <w:rPr>
          <w:rFonts w:ascii="Arial" w:hAnsi="Arial" w:cs="Arial"/>
          <w:sz w:val="22"/>
          <w:szCs w:val="22"/>
        </w:rPr>
      </w:pPr>
    </w:p>
    <w:p w14:paraId="13886D38" w14:textId="2EB72CAA" w:rsidR="00CC6E63" w:rsidRPr="00CC6E63" w:rsidRDefault="00CC6E63" w:rsidP="00CC6E63">
      <w:pPr>
        <w:spacing w:line="360" w:lineRule="auto"/>
        <w:jc w:val="both"/>
        <w:rPr>
          <w:rFonts w:ascii="Arial" w:hAnsi="Arial" w:cs="Arial"/>
          <w:sz w:val="22"/>
          <w:szCs w:val="22"/>
        </w:rPr>
      </w:pPr>
      <w:r w:rsidRPr="00CC6E63">
        <w:rPr>
          <w:rFonts w:ascii="Arial" w:hAnsi="Arial" w:cs="Arial"/>
          <w:sz w:val="22"/>
          <w:szCs w:val="22"/>
        </w:rPr>
        <w:t>En ese sentido, de acuerdo con las facultades conferidas a las y los Coordinadores y a las</w:t>
      </w:r>
      <w:r w:rsidRPr="00CC6E63">
        <w:rPr>
          <w:rFonts w:ascii="Arial" w:hAnsi="Arial" w:cs="Arial"/>
          <w:sz w:val="22"/>
          <w:szCs w:val="22"/>
        </w:rPr>
        <w:t xml:space="preserve"> </w:t>
      </w:r>
      <w:r w:rsidRPr="00CC6E63">
        <w:rPr>
          <w:rFonts w:ascii="Arial" w:hAnsi="Arial" w:cs="Arial"/>
          <w:sz w:val="22"/>
          <w:szCs w:val="22"/>
        </w:rPr>
        <w:t xml:space="preserve">personas titulares de la Subdirección de Proyectos de cada una de las Ponencias, establecidas en el Reglamento Interior de este Instituto, así como en las Obligaciones de Transparencia contenidas en la Ley de Transparencia, Acceso a la Información Pública y Rendición de </w:t>
      </w:r>
      <w:r w:rsidRPr="00CC6E63">
        <w:rPr>
          <w:rFonts w:ascii="Arial" w:hAnsi="Arial" w:cs="Arial"/>
          <w:sz w:val="22"/>
          <w:szCs w:val="22"/>
        </w:rPr>
        <w:t xml:space="preserve"> </w:t>
      </w:r>
      <w:r w:rsidRPr="00CC6E63">
        <w:rPr>
          <w:rFonts w:ascii="Arial" w:hAnsi="Arial" w:cs="Arial"/>
          <w:sz w:val="22"/>
          <w:szCs w:val="22"/>
        </w:rPr>
        <w:t xml:space="preserve">Cuentas de la Ciudad de México en el Artículo 133, Fracción I, esta Secretaría Técnica deberá </w:t>
      </w:r>
      <w:r w:rsidRPr="00CC6E63">
        <w:rPr>
          <w:rFonts w:ascii="Arial" w:hAnsi="Arial" w:cs="Arial"/>
          <w:sz w:val="22"/>
          <w:szCs w:val="22"/>
        </w:rPr>
        <w:t xml:space="preserve"> </w:t>
      </w:r>
      <w:r w:rsidRPr="00CC6E63">
        <w:rPr>
          <w:rFonts w:ascii="Arial" w:hAnsi="Arial" w:cs="Arial"/>
          <w:sz w:val="22"/>
          <w:szCs w:val="22"/>
        </w:rPr>
        <w:t xml:space="preserve">difundir y mantener actualizada a través de los medios que para ello sean habilitados, la </w:t>
      </w:r>
      <w:r w:rsidRPr="00CC6E63">
        <w:rPr>
          <w:rFonts w:ascii="Arial" w:hAnsi="Arial" w:cs="Arial"/>
          <w:sz w:val="22"/>
          <w:szCs w:val="22"/>
        </w:rPr>
        <w:t xml:space="preserve"> </w:t>
      </w:r>
      <w:r w:rsidRPr="00CC6E63">
        <w:rPr>
          <w:rFonts w:ascii="Arial" w:hAnsi="Arial" w:cs="Arial"/>
          <w:sz w:val="22"/>
          <w:szCs w:val="22"/>
        </w:rPr>
        <w:t xml:space="preserve">información relativa al cumplimiento de las resoluciones de este Instituto. </w:t>
      </w:r>
    </w:p>
    <w:p w14:paraId="443930F4" w14:textId="77777777" w:rsidR="00CC6E63" w:rsidRPr="00CC6E63" w:rsidRDefault="00CC6E63" w:rsidP="00CC6E63">
      <w:pPr>
        <w:spacing w:line="360" w:lineRule="auto"/>
        <w:jc w:val="both"/>
        <w:rPr>
          <w:rFonts w:ascii="Arial" w:hAnsi="Arial" w:cs="Arial"/>
          <w:sz w:val="22"/>
          <w:szCs w:val="22"/>
        </w:rPr>
      </w:pPr>
    </w:p>
    <w:p w14:paraId="3D381B5B" w14:textId="281F07E2" w:rsidR="00AB26CA" w:rsidRPr="00CC6E63" w:rsidRDefault="00CC6E63" w:rsidP="00CC6E63">
      <w:pPr>
        <w:spacing w:line="360" w:lineRule="auto"/>
        <w:jc w:val="both"/>
        <w:rPr>
          <w:rFonts w:ascii="Arial" w:hAnsi="Arial" w:cs="Arial"/>
          <w:b/>
          <w:bCs/>
          <w:sz w:val="22"/>
          <w:szCs w:val="22"/>
        </w:rPr>
      </w:pPr>
      <w:r w:rsidRPr="00CC6E63">
        <w:rPr>
          <w:rFonts w:ascii="Arial" w:hAnsi="Arial" w:cs="Arial"/>
          <w:sz w:val="22"/>
          <w:szCs w:val="22"/>
        </w:rPr>
        <w:t xml:space="preserve">En consecuencia, y de conformidad a lo establecido en los artículos 244, último párrafo, 246, 247, 254 y 259 de la Ley de Transparencia, Acceso a la Información Pública y Rendición de Cuentas de la Ciudad de México; 102, 105, 106 párrafo tercero y 108 de la Ley de Protección de Datos Personales en Posesión de Sujetos Obligados de la Ciudad de México y 13, fracción X, 14, fracción IX y 15, fracciones II, IX y XII del Reglamento Interior de este Instituto, se hace de conocimiento de todas las autoridades, entidades, organismos autónomos y público en general, los motivos por los cuales este Instituto no se encuentra en posibilidades de publicar la totalidad de los campos establecidos, lo anterior es así, porque la resolución dictada al presente fue aprobada bajo alguno de los siguientes supuestos: </w:t>
      </w:r>
      <w:r w:rsidRPr="00CC6E63">
        <w:rPr>
          <w:rFonts w:ascii="Arial" w:hAnsi="Arial" w:cs="Arial"/>
          <w:b/>
          <w:bCs/>
          <w:sz w:val="22"/>
          <w:szCs w:val="22"/>
        </w:rPr>
        <w:t>confirmar, sobreseer, desechar o en el caso de denuncias con el sentido de infundada</w:t>
      </w:r>
      <w:r w:rsidRPr="00CC6E63">
        <w:rPr>
          <w:rFonts w:ascii="Arial" w:hAnsi="Arial" w:cs="Arial"/>
          <w:sz w:val="22"/>
          <w:szCs w:val="22"/>
        </w:rPr>
        <w:t xml:space="preserve">, en ese sentido, toda vez que dichas resoluciones no contienen una determinación susceptible de verificar su cumplimiento, este Órgano Garante </w:t>
      </w:r>
      <w:r w:rsidRPr="00CC6E63">
        <w:rPr>
          <w:rFonts w:ascii="Arial" w:hAnsi="Arial" w:cs="Arial"/>
          <w:b/>
          <w:bCs/>
          <w:sz w:val="22"/>
          <w:szCs w:val="22"/>
        </w:rPr>
        <w:t>no se encuentra en posibilidad de exigir una acción de cumplimiento que debiera atender el sujeto obligado</w:t>
      </w:r>
    </w:p>
    <w:sectPr w:rsidR="00AB26CA" w:rsidRPr="00CC6E6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6CAA" w14:textId="77777777" w:rsidR="002F1CE1" w:rsidRDefault="002F1CE1" w:rsidP="00CC6E63">
      <w:r>
        <w:separator/>
      </w:r>
    </w:p>
  </w:endnote>
  <w:endnote w:type="continuationSeparator" w:id="0">
    <w:p w14:paraId="6C947C57" w14:textId="77777777" w:rsidR="002F1CE1" w:rsidRDefault="002F1CE1" w:rsidP="00C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14BF" w14:textId="77777777" w:rsidR="002F1CE1" w:rsidRDefault="002F1CE1" w:rsidP="00CC6E63">
      <w:r>
        <w:separator/>
      </w:r>
    </w:p>
  </w:footnote>
  <w:footnote w:type="continuationSeparator" w:id="0">
    <w:p w14:paraId="2AE28B0A" w14:textId="77777777" w:rsidR="002F1CE1" w:rsidRDefault="002F1CE1" w:rsidP="00CC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107B" w14:textId="1FF72BA8" w:rsidR="00CC6E63" w:rsidRDefault="00CC6E63">
    <w:pPr>
      <w:pStyle w:val="Encabez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72"/>
    </w:tblGrid>
    <w:tr w:rsidR="00CC6E63" w14:paraId="0CE20884" w14:textId="77777777" w:rsidTr="00CC6E63">
      <w:tc>
        <w:tcPr>
          <w:tcW w:w="3119" w:type="dxa"/>
        </w:tcPr>
        <w:p w14:paraId="578F09FC" w14:textId="77777777" w:rsidR="00CC6E63" w:rsidRPr="00CC6E63" w:rsidRDefault="00CC6E63" w:rsidP="00CC6E63">
          <w:pPr>
            <w:pStyle w:val="Encabezado"/>
            <w:tabs>
              <w:tab w:val="left" w:pos="3036"/>
            </w:tabs>
            <w:rPr>
              <w:sz w:val="28"/>
              <w:szCs w:val="28"/>
            </w:rPr>
          </w:pPr>
          <w:r w:rsidRPr="00CC6E63">
            <w:rPr>
              <w:rFonts w:eastAsia="PMingLiU"/>
              <w:noProof/>
              <w:sz w:val="28"/>
              <w:szCs w:val="28"/>
              <w:lang w:val="es-MX"/>
            </w:rPr>
            <w:drawing>
              <wp:inline distT="0" distB="0" distL="0" distR="0" wp14:anchorId="566D5D35" wp14:editId="3A7D6CE8">
                <wp:extent cx="1649095" cy="603739"/>
                <wp:effectExtent l="0" t="0" r="0" b="6350"/>
                <wp:docPr id="1" name="Imagen 1" descr="~4693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4693829"/>
                        <pic:cNvPicPr>
                          <a:picLocks/>
                        </pic:cNvPicPr>
                      </pic:nvPicPr>
                      <pic:blipFill>
                        <a:blip r:embed="rId1">
                          <a:extLst>
                            <a:ext uri="{28A0092B-C50C-407E-A947-70E740481C1C}">
                              <a14:useLocalDpi xmlns:a14="http://schemas.microsoft.com/office/drawing/2010/main" val="0"/>
                            </a:ext>
                          </a:extLst>
                        </a:blip>
                        <a:srcRect r="17619"/>
                        <a:stretch>
                          <a:fillRect/>
                        </a:stretch>
                      </pic:blipFill>
                      <pic:spPr bwMode="auto">
                        <a:xfrm>
                          <a:off x="0" y="0"/>
                          <a:ext cx="1655784" cy="606188"/>
                        </a:xfrm>
                        <a:prstGeom prst="rect">
                          <a:avLst/>
                        </a:prstGeom>
                        <a:noFill/>
                        <a:ln>
                          <a:noFill/>
                        </a:ln>
                      </pic:spPr>
                    </pic:pic>
                  </a:graphicData>
                </a:graphic>
              </wp:inline>
            </w:drawing>
          </w:r>
        </w:p>
      </w:tc>
      <w:tc>
        <w:tcPr>
          <w:tcW w:w="5572" w:type="dxa"/>
        </w:tcPr>
        <w:p w14:paraId="257EF771" w14:textId="77777777" w:rsidR="00CC6E63" w:rsidRDefault="00CC6E63" w:rsidP="00CC6E63">
          <w:pPr>
            <w:pStyle w:val="Encabezado"/>
            <w:tabs>
              <w:tab w:val="left" w:pos="3036"/>
            </w:tabs>
            <w:ind w:left="602"/>
            <w:jc w:val="both"/>
            <w:rPr>
              <w:rFonts w:ascii="Arial" w:hAnsi="Arial" w:cs="Arial"/>
              <w:b/>
              <w:bCs/>
            </w:rPr>
          </w:pPr>
          <w:r w:rsidRPr="00BC5DBC">
            <w:rPr>
              <w:rFonts w:ascii="Arial" w:hAnsi="Arial" w:cs="Arial"/>
              <w:b/>
              <w:bCs/>
            </w:rPr>
            <w:t xml:space="preserve">INSTITUTO DE TRANSPARENCIA, ACCESO A LA INFORMACIÓN PÚBLICA, PROTECCIÓN DE DATOS PERSONALES Y RENDICIÓN DE CUENTAS DE LA CIUDAD DE MÉXICO. </w:t>
          </w:r>
        </w:p>
        <w:p w14:paraId="12E77D4D" w14:textId="77777777" w:rsidR="00CC6E63" w:rsidRDefault="00CC6E63" w:rsidP="00CC6E63">
          <w:pPr>
            <w:pStyle w:val="Encabezado"/>
            <w:tabs>
              <w:tab w:val="left" w:pos="3036"/>
            </w:tabs>
            <w:jc w:val="both"/>
            <w:rPr>
              <w:rFonts w:ascii="Arial" w:hAnsi="Arial" w:cs="Arial"/>
              <w:b/>
              <w:bCs/>
            </w:rPr>
          </w:pPr>
        </w:p>
        <w:p w14:paraId="55BE9EE1" w14:textId="77777777" w:rsidR="00CC6E63" w:rsidRPr="00BC5DBC" w:rsidRDefault="00CC6E63" w:rsidP="00CC6E63">
          <w:pPr>
            <w:pStyle w:val="Encabezado"/>
            <w:tabs>
              <w:tab w:val="left" w:pos="3036"/>
            </w:tabs>
            <w:ind w:left="602"/>
            <w:jc w:val="both"/>
            <w:rPr>
              <w:rFonts w:ascii="Arial" w:hAnsi="Arial" w:cs="Arial"/>
              <w:b/>
              <w:bCs/>
            </w:rPr>
          </w:pPr>
          <w:r w:rsidRPr="00BC5DBC">
            <w:rPr>
              <w:rFonts w:ascii="Arial" w:hAnsi="Arial" w:cs="Arial"/>
              <w:b/>
              <w:bCs/>
            </w:rPr>
            <w:t>COMISIONAD</w:t>
          </w:r>
          <w:r>
            <w:rPr>
              <w:rFonts w:ascii="Arial" w:hAnsi="Arial" w:cs="Arial"/>
              <w:b/>
              <w:bCs/>
            </w:rPr>
            <w:t>O PONENTE</w:t>
          </w:r>
          <w:r w:rsidRPr="00BC5DBC">
            <w:rPr>
              <w:rFonts w:ascii="Arial" w:hAnsi="Arial" w:cs="Arial"/>
              <w:b/>
              <w:bCs/>
            </w:rPr>
            <w:t xml:space="preserve">: </w:t>
          </w:r>
          <w:r>
            <w:rPr>
              <w:rFonts w:ascii="Arial" w:hAnsi="Arial" w:cs="Arial"/>
              <w:b/>
              <w:bCs/>
            </w:rPr>
            <w:t>JULIO CESAR BONILLA GUTIÉRREZ</w:t>
          </w:r>
        </w:p>
      </w:tc>
    </w:tr>
  </w:tbl>
  <w:p w14:paraId="397DD1EA" w14:textId="29FE4117" w:rsidR="00CC6E63" w:rsidRDefault="00CC6E63">
    <w:pPr>
      <w:pStyle w:val="Encabezado"/>
    </w:pPr>
  </w:p>
  <w:p w14:paraId="1A13E740" w14:textId="77777777" w:rsidR="00CC6E63" w:rsidRDefault="00CC6E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63"/>
    <w:rsid w:val="00277FAE"/>
    <w:rsid w:val="002F1CE1"/>
    <w:rsid w:val="00AB26CA"/>
    <w:rsid w:val="00CC6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99E0"/>
  <w15:chartTrackingRefBased/>
  <w15:docId w15:val="{89B3EB1F-2737-4E78-B627-5C1D181C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63"/>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 Car Car Car Car, Car Car Car Car, Car Car Car Car Car Car Car, Car Car Car Car Car Car Car Car,Car Car Car Car Car Car Car Car Car"/>
    <w:basedOn w:val="Normal"/>
    <w:link w:val="EncabezadoCar"/>
    <w:uiPriority w:val="99"/>
    <w:rsid w:val="00CC6E63"/>
    <w:pPr>
      <w:tabs>
        <w:tab w:val="center" w:pos="4252"/>
        <w:tab w:val="right" w:pos="8504"/>
      </w:tabs>
    </w:pPr>
  </w:style>
  <w:style w:type="character" w:customStyle="1" w:styleId="EncabezadoCar">
    <w:name w:val="Encabezado Car"/>
    <w:aliases w:val="Car Car Car Car Car Car Car Car, Car Car Car Car Car, Car Car Car Car Car Car Car Car1, Car Car Car Car Car Car Car Car Car,Car Car Car Car Car Car Car Car Car Car"/>
    <w:basedOn w:val="Fuentedeprrafopredeter"/>
    <w:link w:val="Encabezado"/>
    <w:uiPriority w:val="99"/>
    <w:rsid w:val="00CC6E63"/>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CC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C6E63"/>
    <w:pPr>
      <w:tabs>
        <w:tab w:val="center" w:pos="4419"/>
        <w:tab w:val="right" w:pos="8838"/>
      </w:tabs>
    </w:pPr>
  </w:style>
  <w:style w:type="character" w:customStyle="1" w:styleId="PiedepginaCar">
    <w:name w:val="Pie de página Car"/>
    <w:basedOn w:val="Fuentedeprrafopredeter"/>
    <w:link w:val="Piedepgina"/>
    <w:uiPriority w:val="99"/>
    <w:rsid w:val="00CC6E63"/>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cortes  sanchez</dc:creator>
  <cp:keywords/>
  <dc:description/>
  <cp:lastModifiedBy>gerardo cortes  sanchez</cp:lastModifiedBy>
  <cp:revision>1</cp:revision>
  <dcterms:created xsi:type="dcterms:W3CDTF">2021-06-07T22:37:00Z</dcterms:created>
  <dcterms:modified xsi:type="dcterms:W3CDTF">2021-06-07T23:24:00Z</dcterms:modified>
</cp:coreProperties>
</file>