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5E7551A2" w:rsidR="00E57C08" w:rsidRPr="00E57C08" w:rsidRDefault="00AE264F" w:rsidP="00E57C08">
      <w:pPr>
        <w:tabs>
          <w:tab w:val="left" w:pos="142"/>
        </w:tabs>
        <w:jc w:val="both"/>
        <w:rPr>
          <w:rFonts w:ascii="Century Gothic" w:hAnsi="Century Gothic"/>
          <w:b/>
          <w:sz w:val="36"/>
          <w:szCs w:val="30"/>
        </w:rPr>
      </w:pPr>
      <w:r>
        <w:rPr>
          <w:rFonts w:ascii="Century Gothic" w:hAnsi="Century Gothic"/>
          <w:b/>
          <w:sz w:val="36"/>
          <w:szCs w:val="30"/>
        </w:rPr>
        <w:t>Fracción XXXII_ Las estadísticas que se generen en cumplimiento de sus facultades, competencias o funciones con la mayor desegregación posible.</w:t>
      </w:r>
    </w:p>
    <w:p w14:paraId="46D2F64D" w14:textId="2EFD8C1C" w:rsidR="00023829" w:rsidRDefault="00AE264F" w:rsidP="00E57C08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  <w:bookmarkStart w:id="0" w:name="_GoBack"/>
      <w:bookmarkEnd w:id="0"/>
      <w:r w:rsidRPr="00AE264F">
        <w:rPr>
          <w:rFonts w:ascii="Century Gothic" w:hAnsi="Century Gothic" w:cs="Calibri"/>
          <w:color w:val="000000"/>
          <w:sz w:val="36"/>
          <w:szCs w:val="28"/>
          <w:lang w:eastAsia="es-MX"/>
        </w:rPr>
        <w:t xml:space="preserve">La Dirección de Estado Abierto, </w:t>
      </w:r>
      <w:r w:rsidRPr="00AE264F">
        <w:rPr>
          <w:rFonts w:ascii="Century Gothic" w:hAnsi="Century Gothic" w:cs="Calibri"/>
          <w:color w:val="000000"/>
          <w:sz w:val="36"/>
          <w:szCs w:val="28"/>
          <w:lang w:eastAsia="es-MX"/>
        </w:rPr>
        <w:t>Estudios</w:t>
      </w:r>
      <w:r w:rsidRPr="00AE264F">
        <w:rPr>
          <w:rFonts w:ascii="Century Gothic" w:hAnsi="Century Gothic" w:cs="Calibri"/>
          <w:color w:val="000000"/>
          <w:sz w:val="36"/>
          <w:szCs w:val="28"/>
          <w:lang w:eastAsia="es-MX"/>
        </w:rPr>
        <w:t xml:space="preserve"> y Evaluación publica en las fracciones 6 y 8</w:t>
      </w:r>
      <w:r>
        <w:rPr>
          <w:rFonts w:ascii="Century Gothic" w:hAnsi="Century Gothic" w:cs="Calibri"/>
          <w:color w:val="000000"/>
          <w:sz w:val="36"/>
          <w:szCs w:val="28"/>
          <w:lang w:eastAsia="es-MX"/>
        </w:rPr>
        <w:t xml:space="preserve"> </w:t>
      </w:r>
      <w:r w:rsidRPr="00AE264F">
        <w:rPr>
          <w:rFonts w:ascii="Century Gothic" w:hAnsi="Century Gothic" w:cs="Calibri"/>
          <w:color w:val="000000"/>
          <w:sz w:val="36"/>
          <w:szCs w:val="28"/>
          <w:lang w:eastAsia="es-MX"/>
        </w:rPr>
        <w:t>del artículo 133 todas las estadísticas que se generan y justifican su labor dentro del Instituto.</w:t>
      </w:r>
    </w:p>
    <w:p w14:paraId="1F669CC4" w14:textId="59DC77B4" w:rsidR="00AE264F" w:rsidRDefault="00AE264F" w:rsidP="00E57C08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  <w:r>
        <w:rPr>
          <w:rFonts w:ascii="Century Gothic" w:hAnsi="Century Gothic" w:cs="Calibri"/>
          <w:color w:val="000000"/>
          <w:sz w:val="36"/>
          <w:szCs w:val="28"/>
          <w:lang w:eastAsia="es-MX"/>
        </w:rPr>
        <w:t>En los siguientes vínculos se encuentra la información de se genera por parte de la Dirección:</w:t>
      </w:r>
    </w:p>
    <w:p w14:paraId="79E90CE1" w14:textId="40EB3C76" w:rsidR="00AE264F" w:rsidRDefault="00AE264F" w:rsidP="00E57C08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  <w:r>
        <w:rPr>
          <w:rFonts w:ascii="Century Gothic" w:hAnsi="Century Gothic" w:cs="Calibri"/>
          <w:color w:val="000000"/>
          <w:sz w:val="36"/>
          <w:szCs w:val="28"/>
          <w:lang w:eastAsia="es-MX"/>
        </w:rPr>
        <w:t>Fracción VI del artículo 133:</w:t>
      </w:r>
    </w:p>
    <w:p w14:paraId="728211FD" w14:textId="2A753E9E" w:rsidR="00AE264F" w:rsidRPr="00AE264F" w:rsidRDefault="00AE264F" w:rsidP="00E57C08">
      <w:pPr>
        <w:jc w:val="both"/>
        <w:rPr>
          <w:rFonts w:ascii="Century Gothic" w:hAnsi="Century Gothic" w:cs="Calibri"/>
          <w:color w:val="000000"/>
          <w:sz w:val="52"/>
          <w:szCs w:val="44"/>
          <w:lang w:eastAsia="es-MX"/>
        </w:rPr>
      </w:pPr>
      <w:hyperlink r:id="rId5" w:history="1">
        <w:r w:rsidRPr="00AE264F">
          <w:rPr>
            <w:rStyle w:val="Hipervnculo"/>
            <w:sz w:val="36"/>
            <w:szCs w:val="36"/>
          </w:rPr>
          <w:t>http://transparencia.infodf.org.mx/index.php/articulo-133/fraccion-vi?showall=&amp;limitstart=1</w:t>
        </w:r>
      </w:hyperlink>
    </w:p>
    <w:p w14:paraId="525A4FF3" w14:textId="6EF0097D" w:rsidR="00AE264F" w:rsidRDefault="00AE264F" w:rsidP="00E57C08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  <w:r>
        <w:rPr>
          <w:rFonts w:ascii="Century Gothic" w:hAnsi="Century Gothic" w:cs="Calibri"/>
          <w:color w:val="000000"/>
          <w:sz w:val="36"/>
          <w:szCs w:val="28"/>
          <w:lang w:eastAsia="es-MX"/>
        </w:rPr>
        <w:t>Fracción VIII del artículo 133:</w:t>
      </w:r>
    </w:p>
    <w:p w14:paraId="09A8F54D" w14:textId="793EAE0B" w:rsidR="00AE264F" w:rsidRPr="00AE264F" w:rsidRDefault="00AE264F" w:rsidP="00E57C08">
      <w:pPr>
        <w:jc w:val="both"/>
        <w:rPr>
          <w:rFonts w:ascii="Century Gothic" w:hAnsi="Century Gothic"/>
          <w:sz w:val="36"/>
          <w:szCs w:val="36"/>
        </w:rPr>
      </w:pPr>
      <w:hyperlink r:id="rId6" w:history="1">
        <w:r w:rsidRPr="00AE264F">
          <w:rPr>
            <w:rStyle w:val="Hipervnculo"/>
            <w:sz w:val="36"/>
            <w:szCs w:val="36"/>
          </w:rPr>
          <w:t>http://transparencia.infodf.org.mx/index.php/articulo-133/fraccion-viii?showall=&amp;limitstart=1</w:t>
        </w:r>
      </w:hyperlink>
    </w:p>
    <w:sectPr w:rsidR="00AE264F" w:rsidRPr="00AE2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29"/>
    <w:rsid w:val="00023829"/>
    <w:rsid w:val="00672400"/>
    <w:rsid w:val="006D6177"/>
    <w:rsid w:val="007516A1"/>
    <w:rsid w:val="00AE264F"/>
    <w:rsid w:val="00B144F8"/>
    <w:rsid w:val="00BF5FF0"/>
    <w:rsid w:val="00DE4B30"/>
    <w:rsid w:val="00E57C08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2244FDF9-CE14-48C0-985A-8D151FF3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2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infodf.org.mx/index.php/articulo-133/fraccion-viii?showall=&amp;limitstart=1" TargetMode="External"/><Relationship Id="rId5" Type="http://schemas.openxmlformats.org/officeDocument/2006/relationships/hyperlink" Target="http://transparencia.infodf.org.mx/index.php/articulo-133/fraccion-vi?showall=&amp;limitstart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Ricardo Gonzalez Cano</cp:lastModifiedBy>
  <cp:revision>2</cp:revision>
  <dcterms:created xsi:type="dcterms:W3CDTF">2019-10-09T17:49:00Z</dcterms:created>
  <dcterms:modified xsi:type="dcterms:W3CDTF">2019-10-09T17:49:00Z</dcterms:modified>
</cp:coreProperties>
</file>