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5535381F" w:rsidR="00B2580E" w:rsidRDefault="00B2580E" w:rsidP="008F1378">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AL </w:t>
      </w:r>
      <w:r w:rsidR="00854273">
        <w:rPr>
          <w:b/>
        </w:rPr>
        <w:t>3</w:t>
      </w:r>
      <w:r w:rsidR="00380D89">
        <w:rPr>
          <w:b/>
        </w:rPr>
        <w:t>1</w:t>
      </w:r>
      <w:r w:rsidR="00310BAB" w:rsidRPr="0076547D">
        <w:rPr>
          <w:b/>
        </w:rPr>
        <w:t xml:space="preserve"> </w:t>
      </w:r>
      <w:r w:rsidR="00D96169" w:rsidRPr="0076547D">
        <w:rPr>
          <w:b/>
        </w:rPr>
        <w:t xml:space="preserve">DE </w:t>
      </w:r>
      <w:r w:rsidR="00380D89">
        <w:rPr>
          <w:b/>
        </w:rPr>
        <w:t xml:space="preserve">DICIEMBRE </w:t>
      </w:r>
      <w:r w:rsidR="00D96169" w:rsidRPr="0076547D">
        <w:rPr>
          <w:b/>
        </w:rPr>
        <w:t>DE 20</w:t>
      </w:r>
      <w:r w:rsidR="006E027D">
        <w:rPr>
          <w:b/>
        </w:rPr>
        <w:t>20</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6805EDB" w:rsidR="00B2580E" w:rsidRPr="00272BD4" w:rsidRDefault="005B3E25" w:rsidP="006E027D">
            <w:pPr>
              <w:pStyle w:val="ENCTAB"/>
              <w:spacing w:after="0"/>
              <w:rPr>
                <w:sz w:val="14"/>
                <w:szCs w:val="14"/>
              </w:rPr>
            </w:pPr>
            <w:r>
              <w:rPr>
                <w:sz w:val="14"/>
                <w:szCs w:val="14"/>
              </w:rPr>
              <w:t>20</w:t>
            </w:r>
            <w:r w:rsidR="006E027D">
              <w:rPr>
                <w:sz w:val="14"/>
                <w:szCs w:val="14"/>
              </w:rPr>
              <w:t>20</w:t>
            </w:r>
          </w:p>
        </w:tc>
        <w:tc>
          <w:tcPr>
            <w:tcW w:w="1418" w:type="dxa"/>
            <w:shd w:val="clear" w:color="auto" w:fill="D2D3D5"/>
            <w:vAlign w:val="center"/>
          </w:tcPr>
          <w:p w14:paraId="53CD9D18" w14:textId="2B9D0FC8" w:rsidR="00B2580E" w:rsidRPr="00272BD4" w:rsidRDefault="00BD0C19" w:rsidP="006E027D">
            <w:pPr>
              <w:pStyle w:val="ENCTAB"/>
              <w:spacing w:after="0"/>
              <w:rPr>
                <w:sz w:val="14"/>
                <w:szCs w:val="14"/>
              </w:rPr>
            </w:pPr>
            <w:r>
              <w:rPr>
                <w:sz w:val="14"/>
                <w:szCs w:val="14"/>
              </w:rPr>
              <w:t>20</w:t>
            </w:r>
            <w:r w:rsidR="006E027D">
              <w:rPr>
                <w:sz w:val="14"/>
                <w:szCs w:val="14"/>
              </w:rPr>
              <w:t>19</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6569890" w:rsidR="00B2580E" w:rsidRPr="0063233F" w:rsidRDefault="00380D89"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3651723A" w14:textId="067A432D" w:rsidR="00B2580E" w:rsidRPr="00AF71CB" w:rsidRDefault="00380D89" w:rsidP="00006836">
            <w:pPr>
              <w:pStyle w:val="TEXTAB"/>
              <w:spacing w:after="0"/>
              <w:ind w:right="237"/>
              <w:jc w:val="right"/>
              <w:rPr>
                <w:sz w:val="12"/>
                <w:szCs w:val="12"/>
                <w:lang w:val="es-ES_tradnl"/>
              </w:rPr>
            </w:pPr>
            <w:r>
              <w:rPr>
                <w:sz w:val="12"/>
                <w:szCs w:val="12"/>
                <w:lang w:val="es-ES_tradnl"/>
              </w:rPr>
              <w:t>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5C6BF0BC" w:rsidR="00B2580E" w:rsidRPr="0063233F" w:rsidRDefault="00380D89" w:rsidP="00006836">
            <w:pPr>
              <w:pStyle w:val="TEXTAB"/>
              <w:spacing w:after="0"/>
              <w:ind w:right="237"/>
              <w:jc w:val="right"/>
              <w:rPr>
                <w:sz w:val="12"/>
                <w:szCs w:val="12"/>
                <w:lang w:val="es-ES_tradnl"/>
              </w:rPr>
            </w:pPr>
            <w:r w:rsidRPr="00380D89">
              <w:rPr>
                <w:sz w:val="12"/>
                <w:szCs w:val="12"/>
                <w:lang w:val="es-ES_tradnl"/>
              </w:rPr>
              <w:t>1,229,609.60</w:t>
            </w:r>
          </w:p>
        </w:tc>
        <w:tc>
          <w:tcPr>
            <w:tcW w:w="1418" w:type="dxa"/>
            <w:vAlign w:val="center"/>
          </w:tcPr>
          <w:p w14:paraId="430E79CB" w14:textId="2A725896" w:rsidR="00B2580E" w:rsidRPr="00AF71CB" w:rsidRDefault="00380D89" w:rsidP="00006836">
            <w:pPr>
              <w:pStyle w:val="TEXTAB"/>
              <w:spacing w:after="0"/>
              <w:ind w:right="237"/>
              <w:jc w:val="right"/>
              <w:rPr>
                <w:sz w:val="12"/>
                <w:szCs w:val="12"/>
                <w:lang w:val="es-ES_tradnl"/>
              </w:rPr>
            </w:pPr>
            <w:r>
              <w:rPr>
                <w:sz w:val="12"/>
                <w:szCs w:val="12"/>
                <w:lang w:val="es-ES_tradnl"/>
              </w:rPr>
              <w:t>532,379.10</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1B863C8" w:rsidR="00B2580E" w:rsidRPr="0063233F" w:rsidRDefault="00380D89"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4D918B0A" w14:textId="17915F52" w:rsidR="00B2580E" w:rsidRPr="00AF71CB" w:rsidRDefault="00380D89" w:rsidP="003359D1">
            <w:pPr>
              <w:pStyle w:val="TEXTAB"/>
              <w:spacing w:after="0"/>
              <w:ind w:right="237"/>
              <w:jc w:val="right"/>
              <w:rPr>
                <w:sz w:val="12"/>
                <w:szCs w:val="12"/>
                <w:lang w:val="es-ES_tradnl"/>
              </w:rPr>
            </w:pPr>
            <w:r>
              <w:rPr>
                <w:sz w:val="12"/>
                <w:szCs w:val="12"/>
                <w:lang w:val="es-ES_tradnl"/>
              </w:rPr>
              <w:t>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0DBF52EA" w:rsidR="00AA0FFE" w:rsidRDefault="00380D89" w:rsidP="00500541">
            <w:pPr>
              <w:pStyle w:val="TEXTAB"/>
              <w:spacing w:after="0"/>
              <w:ind w:right="237"/>
              <w:jc w:val="right"/>
              <w:rPr>
                <w:sz w:val="12"/>
                <w:szCs w:val="12"/>
                <w:lang w:val="es-ES_tradnl"/>
              </w:rPr>
            </w:pPr>
            <w:r>
              <w:rPr>
                <w:sz w:val="12"/>
                <w:szCs w:val="12"/>
                <w:lang w:val="es-ES_tradnl"/>
              </w:rPr>
              <w:t>0.00</w:t>
            </w:r>
          </w:p>
        </w:tc>
        <w:tc>
          <w:tcPr>
            <w:tcW w:w="1418" w:type="dxa"/>
            <w:tcBorders>
              <w:bottom w:val="double" w:sz="4" w:space="0" w:color="auto"/>
            </w:tcBorders>
            <w:vAlign w:val="center"/>
          </w:tcPr>
          <w:p w14:paraId="357F625B" w14:textId="5CF70E46" w:rsidR="00AA0FFE" w:rsidRPr="00AF71CB" w:rsidRDefault="00380D89" w:rsidP="00827488">
            <w:pPr>
              <w:pStyle w:val="TEXTAB"/>
              <w:spacing w:after="0"/>
              <w:ind w:right="237"/>
              <w:jc w:val="right"/>
              <w:rPr>
                <w:sz w:val="12"/>
                <w:szCs w:val="12"/>
                <w:lang w:val="es-ES_tradnl"/>
              </w:rPr>
            </w:pPr>
            <w:r>
              <w:rPr>
                <w:sz w:val="12"/>
                <w:szCs w:val="12"/>
                <w:lang w:val="es-ES_tradnl"/>
              </w:rPr>
              <w:t>0.00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10B4ABE2" w:rsidR="00B2580E" w:rsidRPr="0063233F" w:rsidRDefault="00380D89" w:rsidP="0090589C">
            <w:pPr>
              <w:pStyle w:val="TEXTAB"/>
              <w:spacing w:after="0"/>
              <w:ind w:right="237"/>
              <w:jc w:val="right"/>
              <w:rPr>
                <w:sz w:val="12"/>
                <w:szCs w:val="12"/>
                <w:lang w:val="es-ES_tradnl"/>
              </w:rPr>
            </w:pPr>
            <w:r w:rsidRPr="00380D89">
              <w:rPr>
                <w:sz w:val="12"/>
                <w:szCs w:val="12"/>
                <w:lang w:val="es-ES_tradnl"/>
              </w:rPr>
              <w:t>1,229,609.60</w:t>
            </w:r>
          </w:p>
        </w:tc>
        <w:tc>
          <w:tcPr>
            <w:tcW w:w="1418" w:type="dxa"/>
            <w:shd w:val="clear" w:color="auto" w:fill="D2D3D5"/>
            <w:vAlign w:val="center"/>
          </w:tcPr>
          <w:p w14:paraId="41793B18" w14:textId="3E0E0A46" w:rsidR="00B2580E" w:rsidRPr="0063233F" w:rsidRDefault="00380D89" w:rsidP="00006836">
            <w:pPr>
              <w:pStyle w:val="TEXTAB"/>
              <w:spacing w:after="0"/>
              <w:ind w:right="237"/>
              <w:jc w:val="right"/>
              <w:rPr>
                <w:sz w:val="12"/>
                <w:szCs w:val="12"/>
                <w:lang w:val="es-ES_tradnl"/>
              </w:rPr>
            </w:pPr>
            <w:r>
              <w:rPr>
                <w:sz w:val="12"/>
                <w:szCs w:val="12"/>
                <w:lang w:val="es-ES_tradnl"/>
              </w:rPr>
              <w:t>532,379.10</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4DD65B3A" w14:textId="77777777" w:rsidR="00621CD8" w:rsidRPr="00382A21" w:rsidRDefault="00621CD8"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11901978" w:rsidR="005D230D" w:rsidRDefault="005D230D" w:rsidP="005D230D">
      <w:pPr>
        <w:pStyle w:val="documento"/>
      </w:pPr>
      <w:r w:rsidRPr="00E50D64">
        <w:t xml:space="preserve">El monto de la depreciación acumulada fue de </w:t>
      </w:r>
      <w:r w:rsidR="00B65EAA" w:rsidRPr="00E50D64">
        <w:t>$</w:t>
      </w:r>
      <w:r w:rsidR="0070319E" w:rsidRPr="0070319E">
        <w:t>28</w:t>
      </w:r>
      <w:proofErr w:type="gramStart"/>
      <w:r w:rsidR="0070319E" w:rsidRPr="0070319E">
        <w:t>,842,432.17</w:t>
      </w:r>
      <w:proofErr w:type="gramEnd"/>
      <w:r w:rsidR="004E7FFB">
        <w:t xml:space="preserve"> </w:t>
      </w:r>
      <w:r w:rsidRPr="00E50D64">
        <w:t xml:space="preserve">y la amortización acumulada de </w:t>
      </w:r>
      <w:r w:rsidR="00F14031" w:rsidRPr="00E50D64">
        <w:t>$</w:t>
      </w:r>
      <w:r w:rsidR="0070319E" w:rsidRPr="0070319E">
        <w:t>4,756,335.08</w:t>
      </w:r>
      <w:r w:rsidR="0001723E" w:rsidRPr="00E50D64">
        <w:t>.</w:t>
      </w:r>
      <w:r w:rsidR="00E51A28" w:rsidRPr="00E50D64">
        <w:t xml:space="preserve"> </w:t>
      </w:r>
      <w:r w:rsidRPr="00E50D64">
        <w:t xml:space="preserve">La depreciación y amortización </w:t>
      </w:r>
      <w:r w:rsidR="00C80D77" w:rsidRPr="00E50D64">
        <w:t xml:space="preserve">al mes de </w:t>
      </w:r>
      <w:r w:rsidR="0070319E">
        <w:t>diciembre</w:t>
      </w:r>
      <w:r w:rsidR="00272149">
        <w:t xml:space="preserve"> </w:t>
      </w:r>
      <w:r w:rsidR="004D463A" w:rsidRPr="00E50D64">
        <w:t>d</w:t>
      </w:r>
      <w:r w:rsidR="00E51A28" w:rsidRPr="00E50D64">
        <w:t>e 20</w:t>
      </w:r>
      <w:r w:rsidR="00E5295B" w:rsidRPr="00E50D64">
        <w:t>20</w:t>
      </w:r>
      <w:r w:rsidR="00E51A28" w:rsidRPr="00E50D64">
        <w:t xml:space="preserve"> es de </w:t>
      </w:r>
      <w:r w:rsidR="0039154A" w:rsidRPr="00E50D64">
        <w:t>$</w:t>
      </w:r>
      <w:r w:rsidR="0070319E" w:rsidRPr="0070319E">
        <w:t>2</w:t>
      </w:r>
      <w:proofErr w:type="gramStart"/>
      <w:r w:rsidR="0070319E" w:rsidRPr="0070319E">
        <w:t>,392,920.85</w:t>
      </w:r>
      <w:proofErr w:type="gramEnd"/>
      <w:r w:rsidR="00C55948">
        <w:t xml:space="preserve"> </w:t>
      </w:r>
      <w:r w:rsidRPr="00E50D64">
        <w:t xml:space="preserve">y </w:t>
      </w:r>
      <w:r w:rsidR="00B65EAA" w:rsidRPr="00E50D64">
        <w:t>$</w:t>
      </w:r>
      <w:r w:rsidR="0070319E" w:rsidRPr="0070319E">
        <w:t>501,834.96</w:t>
      </w:r>
      <w:r w:rsidR="004E7FFB">
        <w:t xml:space="preserve"> </w:t>
      </w:r>
      <w:r w:rsidRPr="00E50D64">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D3B1C24" w:rsidR="00B2580E" w:rsidRPr="00272BD4" w:rsidRDefault="007D6599" w:rsidP="00E5295B">
            <w:pPr>
              <w:pStyle w:val="ENCTAB"/>
              <w:spacing w:after="0"/>
              <w:rPr>
                <w:sz w:val="14"/>
                <w:szCs w:val="14"/>
              </w:rPr>
            </w:pPr>
            <w:r>
              <w:rPr>
                <w:sz w:val="14"/>
                <w:szCs w:val="14"/>
              </w:rPr>
              <w:t>20</w:t>
            </w:r>
            <w:r w:rsidR="00E5295B">
              <w:rPr>
                <w:sz w:val="14"/>
                <w:szCs w:val="14"/>
              </w:rPr>
              <w:t>20</w:t>
            </w:r>
          </w:p>
        </w:tc>
        <w:tc>
          <w:tcPr>
            <w:tcW w:w="1418" w:type="dxa"/>
            <w:shd w:val="clear" w:color="auto" w:fill="D2D3D5"/>
            <w:vAlign w:val="center"/>
          </w:tcPr>
          <w:p w14:paraId="52FFA307" w14:textId="02AE8703" w:rsidR="00B2580E" w:rsidRPr="00272BD4" w:rsidRDefault="007D6599" w:rsidP="00E5295B">
            <w:pPr>
              <w:pStyle w:val="ENCTAB"/>
              <w:spacing w:after="0"/>
              <w:rPr>
                <w:sz w:val="14"/>
                <w:szCs w:val="14"/>
              </w:rPr>
            </w:pPr>
            <w:r>
              <w:rPr>
                <w:sz w:val="14"/>
                <w:szCs w:val="14"/>
              </w:rPr>
              <w:t>2</w:t>
            </w:r>
            <w:r w:rsidR="0077226A">
              <w:rPr>
                <w:sz w:val="14"/>
                <w:szCs w:val="14"/>
              </w:rPr>
              <w:t>0</w:t>
            </w:r>
            <w:r w:rsidR="00E5295B">
              <w:rPr>
                <w:sz w:val="14"/>
                <w:szCs w:val="14"/>
              </w:rPr>
              <w:t>19</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8A1664" w:rsidRPr="0063233F" w14:paraId="2ECF8144" w14:textId="77777777" w:rsidTr="008A1664">
        <w:trPr>
          <w:trHeight w:val="280"/>
          <w:jc w:val="center"/>
        </w:trPr>
        <w:tc>
          <w:tcPr>
            <w:tcW w:w="5672" w:type="dxa"/>
            <w:vAlign w:val="center"/>
          </w:tcPr>
          <w:p w14:paraId="6F0177AC" w14:textId="152B3903" w:rsidR="008A1664" w:rsidRPr="0063233F" w:rsidRDefault="008A1664" w:rsidP="008A1664">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2F9C11DE" w:rsidR="008A1664" w:rsidRPr="0063233F" w:rsidRDefault="008A1664" w:rsidP="008A1664">
            <w:pPr>
              <w:pStyle w:val="TEXTAB"/>
              <w:spacing w:after="0"/>
              <w:ind w:right="237"/>
              <w:jc w:val="right"/>
              <w:rPr>
                <w:sz w:val="12"/>
                <w:szCs w:val="12"/>
                <w:lang w:val="es-ES_tradnl"/>
              </w:rPr>
            </w:pPr>
            <w:r w:rsidRPr="008A1664">
              <w:rPr>
                <w:sz w:val="12"/>
                <w:szCs w:val="12"/>
                <w:lang w:val="es-ES_tradnl"/>
              </w:rPr>
              <w:t>29,192,207.96</w:t>
            </w:r>
          </w:p>
        </w:tc>
        <w:tc>
          <w:tcPr>
            <w:tcW w:w="1418" w:type="dxa"/>
            <w:vAlign w:val="center"/>
          </w:tcPr>
          <w:p w14:paraId="3F18A06E" w14:textId="50FEA309" w:rsidR="008A1664" w:rsidRPr="0063233F" w:rsidRDefault="008A1664" w:rsidP="008A1664">
            <w:pPr>
              <w:pStyle w:val="TEXTAB"/>
              <w:spacing w:after="0"/>
              <w:ind w:right="237"/>
              <w:jc w:val="right"/>
              <w:rPr>
                <w:sz w:val="12"/>
                <w:szCs w:val="12"/>
                <w:lang w:val="es-ES_tradnl"/>
              </w:rPr>
            </w:pPr>
            <w:r>
              <w:rPr>
                <w:sz w:val="12"/>
                <w:szCs w:val="12"/>
                <w:lang w:val="es-ES_tradnl"/>
              </w:rPr>
              <w:t>25,159,240.16</w:t>
            </w:r>
          </w:p>
        </w:tc>
      </w:tr>
      <w:tr w:rsidR="008A1664" w:rsidRPr="0063233F" w14:paraId="7CABFE3B" w14:textId="77777777" w:rsidTr="008A1664">
        <w:trPr>
          <w:trHeight w:val="280"/>
          <w:jc w:val="center"/>
        </w:trPr>
        <w:tc>
          <w:tcPr>
            <w:tcW w:w="5672" w:type="dxa"/>
            <w:vAlign w:val="center"/>
          </w:tcPr>
          <w:p w14:paraId="081FAB21" w14:textId="7CFA28E2" w:rsidR="008A1664" w:rsidRDefault="008A1664" w:rsidP="008A1664">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1BF7D142" w:rsidR="008A1664" w:rsidRPr="0063233F" w:rsidRDefault="008A1664" w:rsidP="008A1664">
            <w:pPr>
              <w:pStyle w:val="TEXTAB"/>
              <w:spacing w:after="0"/>
              <w:ind w:right="237"/>
              <w:jc w:val="right"/>
              <w:rPr>
                <w:sz w:val="12"/>
                <w:szCs w:val="12"/>
                <w:lang w:val="es-ES_tradnl"/>
              </w:rPr>
            </w:pPr>
            <w:r w:rsidRPr="008A1664">
              <w:rPr>
                <w:sz w:val="12"/>
                <w:szCs w:val="12"/>
                <w:lang w:val="es-ES_tradnl"/>
              </w:rPr>
              <w:t>1,353,170.77</w:t>
            </w:r>
          </w:p>
        </w:tc>
        <w:tc>
          <w:tcPr>
            <w:tcW w:w="1418" w:type="dxa"/>
            <w:vAlign w:val="center"/>
          </w:tcPr>
          <w:p w14:paraId="6710702B" w14:textId="40552BB8" w:rsidR="008A1664" w:rsidRPr="0063233F" w:rsidRDefault="008A1664" w:rsidP="008A1664">
            <w:pPr>
              <w:pStyle w:val="TEXTAB"/>
              <w:spacing w:after="0"/>
              <w:ind w:right="237"/>
              <w:jc w:val="right"/>
              <w:rPr>
                <w:sz w:val="12"/>
                <w:szCs w:val="12"/>
                <w:lang w:val="es-ES_tradnl"/>
              </w:rPr>
            </w:pPr>
            <w:r>
              <w:rPr>
                <w:sz w:val="12"/>
                <w:szCs w:val="12"/>
                <w:lang w:val="es-ES_tradnl"/>
              </w:rPr>
              <w:t>1,927,721.68</w:t>
            </w:r>
          </w:p>
        </w:tc>
      </w:tr>
      <w:tr w:rsidR="008A1664" w:rsidRPr="0063233F" w14:paraId="4EF9EA5C" w14:textId="77777777" w:rsidTr="008A1664">
        <w:trPr>
          <w:trHeight w:val="280"/>
          <w:jc w:val="center"/>
        </w:trPr>
        <w:tc>
          <w:tcPr>
            <w:tcW w:w="5672" w:type="dxa"/>
            <w:vAlign w:val="center"/>
          </w:tcPr>
          <w:p w14:paraId="364544D5" w14:textId="23FF57D8" w:rsidR="008A1664" w:rsidRDefault="008A1664" w:rsidP="008A1664">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2840D4EF" w:rsidR="008A1664" w:rsidRPr="0063233F" w:rsidRDefault="008A1664" w:rsidP="008A1664">
            <w:pPr>
              <w:pStyle w:val="TEXTAB"/>
              <w:spacing w:after="0"/>
              <w:ind w:right="237"/>
              <w:jc w:val="right"/>
              <w:rPr>
                <w:sz w:val="12"/>
                <w:szCs w:val="12"/>
                <w:lang w:val="es-ES_tradnl"/>
              </w:rPr>
            </w:pPr>
            <w:r w:rsidRPr="008A1664">
              <w:rPr>
                <w:sz w:val="12"/>
                <w:szCs w:val="12"/>
                <w:lang w:val="es-ES_tradnl"/>
              </w:rPr>
              <w:t>5,140,504.00</w:t>
            </w:r>
          </w:p>
        </w:tc>
        <w:tc>
          <w:tcPr>
            <w:tcW w:w="1418" w:type="dxa"/>
            <w:vAlign w:val="center"/>
          </w:tcPr>
          <w:p w14:paraId="176D1637" w14:textId="00F58AA0" w:rsidR="008A1664" w:rsidRPr="0063233F" w:rsidRDefault="008A1664" w:rsidP="008A1664">
            <w:pPr>
              <w:pStyle w:val="TEXTAB"/>
              <w:spacing w:after="0"/>
              <w:ind w:right="237"/>
              <w:jc w:val="right"/>
              <w:rPr>
                <w:sz w:val="12"/>
                <w:szCs w:val="12"/>
                <w:lang w:val="es-ES_tradnl"/>
              </w:rPr>
            </w:pPr>
            <w:r w:rsidRPr="007D6599">
              <w:rPr>
                <w:sz w:val="12"/>
                <w:szCs w:val="12"/>
                <w:lang w:val="es-ES_tradnl"/>
              </w:rPr>
              <w:t>5,528,782.00</w:t>
            </w:r>
          </w:p>
        </w:tc>
      </w:tr>
      <w:tr w:rsidR="008A1664" w:rsidRPr="0063233F" w14:paraId="1E59AD85" w14:textId="77777777" w:rsidTr="008A1664">
        <w:trPr>
          <w:trHeight w:val="280"/>
          <w:jc w:val="center"/>
        </w:trPr>
        <w:tc>
          <w:tcPr>
            <w:tcW w:w="5672" w:type="dxa"/>
            <w:tcBorders>
              <w:bottom w:val="nil"/>
            </w:tcBorders>
            <w:vAlign w:val="center"/>
          </w:tcPr>
          <w:p w14:paraId="699ED75B" w14:textId="15D9C91F" w:rsidR="008A1664" w:rsidRPr="0063233F" w:rsidRDefault="008A1664" w:rsidP="008A166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547B2F78" w:rsidR="008A1664" w:rsidRPr="0063233F" w:rsidRDefault="008A1664" w:rsidP="008A1664">
            <w:pPr>
              <w:pStyle w:val="TEXTAB"/>
              <w:spacing w:after="0"/>
              <w:ind w:right="237"/>
              <w:jc w:val="right"/>
              <w:rPr>
                <w:sz w:val="12"/>
                <w:szCs w:val="12"/>
                <w:lang w:val="es-ES_tradnl"/>
              </w:rPr>
            </w:pPr>
            <w:r w:rsidRPr="008A1664">
              <w:rPr>
                <w:sz w:val="12"/>
                <w:szCs w:val="12"/>
                <w:lang w:val="es-ES_tradnl"/>
              </w:rPr>
              <w:t>4,362,062.23</w:t>
            </w:r>
          </w:p>
        </w:tc>
        <w:tc>
          <w:tcPr>
            <w:tcW w:w="1418" w:type="dxa"/>
            <w:tcBorders>
              <w:bottom w:val="nil"/>
            </w:tcBorders>
            <w:vAlign w:val="center"/>
          </w:tcPr>
          <w:p w14:paraId="00D59FA2" w14:textId="777AE8C5" w:rsidR="008A1664" w:rsidRPr="0063233F" w:rsidRDefault="008A1664" w:rsidP="008A1664">
            <w:pPr>
              <w:pStyle w:val="TEXTAB"/>
              <w:spacing w:after="0"/>
              <w:ind w:right="237"/>
              <w:jc w:val="right"/>
              <w:rPr>
                <w:sz w:val="12"/>
                <w:szCs w:val="12"/>
                <w:lang w:val="es-ES_tradnl"/>
              </w:rPr>
            </w:pPr>
            <w:r>
              <w:rPr>
                <w:sz w:val="12"/>
                <w:szCs w:val="12"/>
                <w:lang w:val="es-ES_tradnl"/>
              </w:rPr>
              <w:t>2,175,758.16</w:t>
            </w:r>
          </w:p>
        </w:tc>
      </w:tr>
      <w:tr w:rsidR="008A1664" w:rsidRPr="0063233F" w14:paraId="5FED17A5" w14:textId="77777777" w:rsidTr="008A1664">
        <w:trPr>
          <w:trHeight w:val="280"/>
          <w:jc w:val="center"/>
        </w:trPr>
        <w:tc>
          <w:tcPr>
            <w:tcW w:w="5672" w:type="dxa"/>
            <w:tcBorders>
              <w:bottom w:val="nil"/>
            </w:tcBorders>
            <w:vAlign w:val="center"/>
          </w:tcPr>
          <w:p w14:paraId="71628C79" w14:textId="5F0560F5" w:rsidR="008A1664" w:rsidRPr="0063233F" w:rsidRDefault="008A1664" w:rsidP="008A166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61ACECBC" w:rsidR="008A1664" w:rsidRPr="0063233F" w:rsidRDefault="008A1664" w:rsidP="008A1664">
            <w:pPr>
              <w:pStyle w:val="TEXTAB"/>
              <w:spacing w:after="0"/>
              <w:ind w:right="237"/>
              <w:jc w:val="right"/>
              <w:rPr>
                <w:sz w:val="12"/>
                <w:szCs w:val="12"/>
                <w:lang w:val="es-ES_tradnl"/>
              </w:rPr>
            </w:pPr>
            <w:r w:rsidRPr="008A1664">
              <w:rPr>
                <w:sz w:val="12"/>
                <w:szCs w:val="12"/>
                <w:lang w:val="es-ES_tradnl"/>
              </w:rPr>
              <w:t>31,262.00</w:t>
            </w:r>
          </w:p>
        </w:tc>
        <w:tc>
          <w:tcPr>
            <w:tcW w:w="1418" w:type="dxa"/>
            <w:tcBorders>
              <w:bottom w:val="single" w:sz="4" w:space="0" w:color="auto"/>
            </w:tcBorders>
            <w:vAlign w:val="center"/>
          </w:tcPr>
          <w:p w14:paraId="4FE6AFA4" w14:textId="13474D75" w:rsidR="008A1664" w:rsidRPr="0063233F" w:rsidRDefault="008A1664" w:rsidP="008A1664">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05804DFA" w:rsidR="009F50D5" w:rsidRDefault="008A1664" w:rsidP="009F50D5">
            <w:pPr>
              <w:pStyle w:val="TEXTAB"/>
              <w:spacing w:after="0"/>
              <w:ind w:right="237"/>
              <w:jc w:val="right"/>
              <w:rPr>
                <w:sz w:val="12"/>
                <w:szCs w:val="12"/>
                <w:lang w:val="es-ES_tradnl"/>
              </w:rPr>
            </w:pPr>
            <w:r w:rsidRPr="008A1664">
              <w:rPr>
                <w:sz w:val="12"/>
                <w:szCs w:val="12"/>
                <w:lang w:val="es-ES_tradnl"/>
              </w:rPr>
              <w:t>40,079,206.96</w:t>
            </w:r>
          </w:p>
        </w:tc>
        <w:tc>
          <w:tcPr>
            <w:tcW w:w="1418" w:type="dxa"/>
            <w:tcBorders>
              <w:top w:val="single" w:sz="4" w:space="0" w:color="auto"/>
            </w:tcBorders>
            <w:vAlign w:val="center"/>
          </w:tcPr>
          <w:p w14:paraId="41591F14" w14:textId="7325771A" w:rsidR="009F50D5" w:rsidRDefault="00D52550" w:rsidP="009F50D5">
            <w:pPr>
              <w:pStyle w:val="TEXTAB"/>
              <w:spacing w:after="0"/>
              <w:ind w:right="237"/>
              <w:jc w:val="right"/>
              <w:rPr>
                <w:sz w:val="12"/>
                <w:szCs w:val="12"/>
                <w:lang w:val="es-ES_tradnl"/>
              </w:rPr>
            </w:pPr>
            <w:r>
              <w:rPr>
                <w:sz w:val="12"/>
                <w:szCs w:val="12"/>
                <w:lang w:val="es-ES_tradnl"/>
              </w:rPr>
              <w:t>34,822,764.00</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B100F9">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294B5275" w:rsidR="007D6599" w:rsidRPr="0063233F" w:rsidRDefault="008D0E22" w:rsidP="007D6599">
            <w:pPr>
              <w:pStyle w:val="TEXTAB"/>
              <w:spacing w:after="0"/>
              <w:ind w:right="237"/>
              <w:jc w:val="right"/>
              <w:rPr>
                <w:sz w:val="12"/>
                <w:szCs w:val="12"/>
                <w:lang w:val="es-ES_tradnl"/>
              </w:rPr>
            </w:pPr>
            <w:r w:rsidRPr="008D0E22">
              <w:rPr>
                <w:sz w:val="12"/>
                <w:szCs w:val="12"/>
                <w:lang w:val="es-ES_tradnl"/>
              </w:rPr>
              <w:t>4,252,200.37</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B100F9" w:rsidRPr="0063233F" w14:paraId="0145A2A6" w14:textId="77777777" w:rsidTr="00B100F9">
        <w:trPr>
          <w:trHeight w:val="280"/>
          <w:jc w:val="center"/>
        </w:trPr>
        <w:tc>
          <w:tcPr>
            <w:tcW w:w="5672" w:type="dxa"/>
            <w:tcBorders>
              <w:bottom w:val="nil"/>
            </w:tcBorders>
            <w:vAlign w:val="center"/>
          </w:tcPr>
          <w:p w14:paraId="0CFE0C1C" w14:textId="0954A0C8" w:rsidR="00B100F9" w:rsidRDefault="00B100F9" w:rsidP="007D6599">
            <w:pPr>
              <w:pStyle w:val="TEXTAB"/>
              <w:spacing w:after="0"/>
              <w:ind w:right="237"/>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2FBD2CF5" w:rsidR="00B100F9" w:rsidRDefault="00C55948" w:rsidP="009F50D5">
            <w:pPr>
              <w:pStyle w:val="TEXTAB"/>
              <w:spacing w:after="0"/>
              <w:ind w:right="237"/>
              <w:jc w:val="right"/>
              <w:rPr>
                <w:sz w:val="12"/>
                <w:szCs w:val="12"/>
                <w:lang w:val="es-ES_tradnl"/>
              </w:rPr>
            </w:pPr>
            <w:r w:rsidRPr="00C55948">
              <w:rPr>
                <w:sz w:val="12"/>
                <w:szCs w:val="12"/>
                <w:lang w:val="es-ES_tradnl"/>
              </w:rPr>
              <w:t>13,604.04</w:t>
            </w:r>
          </w:p>
        </w:tc>
        <w:tc>
          <w:tcPr>
            <w:tcW w:w="1418" w:type="dxa"/>
            <w:tcBorders>
              <w:bottom w:val="nil"/>
            </w:tcBorders>
            <w:vAlign w:val="center"/>
          </w:tcPr>
          <w:p w14:paraId="2C0CC746" w14:textId="677D6217" w:rsidR="00B100F9" w:rsidRDefault="00B100F9" w:rsidP="00760AC5">
            <w:pPr>
              <w:pStyle w:val="TEXTAB"/>
              <w:spacing w:after="0"/>
              <w:ind w:right="237"/>
              <w:jc w:val="right"/>
              <w:rPr>
                <w:sz w:val="12"/>
                <w:szCs w:val="12"/>
                <w:lang w:val="es-ES_tradnl"/>
              </w:rPr>
            </w:pPr>
            <w:r>
              <w:rPr>
                <w:sz w:val="12"/>
                <w:szCs w:val="12"/>
                <w:lang w:val="es-ES_tradnl"/>
              </w:rPr>
              <w:t>0.00</w:t>
            </w:r>
          </w:p>
        </w:tc>
      </w:tr>
      <w:tr w:rsidR="007D6599" w:rsidRPr="0063233F" w14:paraId="5523950B" w14:textId="77777777" w:rsidTr="00B100F9">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vAlign w:val="center"/>
          </w:tcPr>
          <w:p w14:paraId="2106B294" w14:textId="461F26D2" w:rsidR="007D6599" w:rsidRPr="0063233F" w:rsidRDefault="008D0E22" w:rsidP="009F50D5">
            <w:pPr>
              <w:pStyle w:val="TEXTAB"/>
              <w:spacing w:after="0"/>
              <w:ind w:right="237"/>
              <w:jc w:val="right"/>
              <w:rPr>
                <w:sz w:val="12"/>
                <w:szCs w:val="12"/>
                <w:lang w:val="es-ES_tradnl"/>
              </w:rPr>
            </w:pPr>
            <w:r w:rsidRPr="008D0E22">
              <w:rPr>
                <w:sz w:val="12"/>
                <w:szCs w:val="12"/>
                <w:lang w:val="es-ES_tradnl"/>
              </w:rPr>
              <w:t>5,596,132.88</w:t>
            </w:r>
          </w:p>
        </w:tc>
        <w:tc>
          <w:tcPr>
            <w:tcW w:w="1418" w:type="dxa"/>
            <w:tcBorders>
              <w:top w:val="nil"/>
              <w:bottom w:val="single" w:sz="4" w:space="0" w:color="auto"/>
            </w:tcBorders>
            <w:vAlign w:val="center"/>
          </w:tcPr>
          <w:p w14:paraId="18FDA159" w14:textId="4D108C1A" w:rsidR="007D6599" w:rsidRPr="0063233F" w:rsidRDefault="00D52550" w:rsidP="00760AC5">
            <w:pPr>
              <w:pStyle w:val="TEXTAB"/>
              <w:spacing w:after="0"/>
              <w:ind w:right="237"/>
              <w:jc w:val="right"/>
              <w:rPr>
                <w:sz w:val="12"/>
                <w:szCs w:val="12"/>
                <w:lang w:val="es-ES_tradnl"/>
              </w:rPr>
            </w:pPr>
            <w:r>
              <w:rPr>
                <w:sz w:val="12"/>
                <w:szCs w:val="12"/>
                <w:lang w:val="es-ES_tradnl"/>
              </w:rPr>
              <w:t>4,614,898.52</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78F9E26D" w:rsidR="007D6599" w:rsidRDefault="008D0E22" w:rsidP="007D6599">
            <w:pPr>
              <w:pStyle w:val="TEXTAB"/>
              <w:spacing w:after="0"/>
              <w:ind w:right="237"/>
              <w:jc w:val="right"/>
              <w:rPr>
                <w:sz w:val="12"/>
                <w:szCs w:val="12"/>
                <w:lang w:val="es-ES_tradnl"/>
              </w:rPr>
            </w:pPr>
            <w:r w:rsidRPr="008D0E22">
              <w:rPr>
                <w:sz w:val="12"/>
                <w:szCs w:val="12"/>
                <w:lang w:val="es-ES_tradnl"/>
              </w:rPr>
              <w:t>9,861,937.29</w:t>
            </w:r>
          </w:p>
        </w:tc>
        <w:tc>
          <w:tcPr>
            <w:tcW w:w="1418" w:type="dxa"/>
            <w:tcBorders>
              <w:top w:val="single" w:sz="4" w:space="0" w:color="auto"/>
              <w:bottom w:val="double" w:sz="4" w:space="0" w:color="auto"/>
            </w:tcBorders>
            <w:vAlign w:val="center"/>
          </w:tcPr>
          <w:p w14:paraId="36AA7828" w14:textId="1B3441EF" w:rsidR="007D6599" w:rsidRDefault="00D52550" w:rsidP="007D6599">
            <w:pPr>
              <w:pStyle w:val="TEXTAB"/>
              <w:spacing w:after="0"/>
              <w:ind w:right="237"/>
              <w:jc w:val="right"/>
              <w:rPr>
                <w:sz w:val="12"/>
                <w:szCs w:val="12"/>
                <w:lang w:val="es-ES_tradnl"/>
              </w:rPr>
            </w:pPr>
            <w:r>
              <w:rPr>
                <w:sz w:val="12"/>
                <w:szCs w:val="12"/>
                <w:lang w:val="es-ES_tradnl"/>
              </w:rPr>
              <w:t>4,651,195.73</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6569BE0C" w:rsidR="007D6599" w:rsidRPr="0063233F" w:rsidRDefault="008D0E22" w:rsidP="0014096F">
            <w:pPr>
              <w:pStyle w:val="TEXTAB"/>
              <w:spacing w:after="0"/>
              <w:ind w:right="237"/>
              <w:jc w:val="right"/>
              <w:rPr>
                <w:sz w:val="12"/>
                <w:szCs w:val="12"/>
                <w:lang w:val="es-ES_tradnl"/>
              </w:rPr>
            </w:pPr>
            <w:r>
              <w:rPr>
                <w:sz w:val="12"/>
                <w:szCs w:val="12"/>
                <w:lang w:val="es-ES_tradnl"/>
              </w:rPr>
              <w:t>49,941,144.25</w:t>
            </w:r>
          </w:p>
        </w:tc>
        <w:tc>
          <w:tcPr>
            <w:tcW w:w="1418" w:type="dxa"/>
            <w:shd w:val="clear" w:color="auto" w:fill="D2D3D5"/>
            <w:vAlign w:val="center"/>
          </w:tcPr>
          <w:p w14:paraId="02527ECF" w14:textId="202043F4" w:rsidR="007D6599" w:rsidRPr="0063233F" w:rsidRDefault="00D52550" w:rsidP="007D6599">
            <w:pPr>
              <w:pStyle w:val="TEXTAB"/>
              <w:spacing w:after="0"/>
              <w:ind w:right="237"/>
              <w:jc w:val="right"/>
              <w:rPr>
                <w:sz w:val="12"/>
                <w:szCs w:val="12"/>
                <w:lang w:val="es-ES_tradnl"/>
              </w:rPr>
            </w:pPr>
            <w:r>
              <w:rPr>
                <w:sz w:val="12"/>
                <w:szCs w:val="12"/>
                <w:lang w:val="es-ES_tradnl"/>
              </w:rPr>
              <w:t>39,473,959.73</w:t>
            </w:r>
          </w:p>
        </w:tc>
      </w:tr>
    </w:tbl>
    <w:p w14:paraId="30C4FFD0" w14:textId="77777777" w:rsidR="00B2580E" w:rsidRDefault="00B2580E" w:rsidP="00B2580E">
      <w:pPr>
        <w:pStyle w:val="documento"/>
      </w:pPr>
    </w:p>
    <w:p w14:paraId="4FA9C012" w14:textId="77777777" w:rsidR="00C86E22" w:rsidRDefault="00C86E22" w:rsidP="00254975">
      <w:pPr>
        <w:pStyle w:val="documento"/>
        <w:tabs>
          <w:tab w:val="left" w:pos="567"/>
        </w:tabs>
      </w:pPr>
    </w:p>
    <w:p w14:paraId="66888C8F" w14:textId="77777777" w:rsidR="008D0E22" w:rsidRDefault="008D0E22" w:rsidP="00B2580E">
      <w:pPr>
        <w:pStyle w:val="documento"/>
        <w:rPr>
          <w:b/>
        </w:rPr>
      </w:pPr>
    </w:p>
    <w:p w14:paraId="1F852B0F" w14:textId="77777777" w:rsidR="008D0E22" w:rsidRDefault="008D0E22" w:rsidP="00B2580E">
      <w:pPr>
        <w:pStyle w:val="documento"/>
        <w:rPr>
          <w:b/>
        </w:rPr>
      </w:pPr>
    </w:p>
    <w:p w14:paraId="52D1A182" w14:textId="77777777" w:rsidR="008D0E22" w:rsidRDefault="008D0E22" w:rsidP="00B2580E">
      <w:pPr>
        <w:pStyle w:val="documento"/>
        <w:rPr>
          <w:b/>
        </w:rPr>
      </w:pPr>
    </w:p>
    <w:p w14:paraId="4F2DE7DE" w14:textId="77777777" w:rsidR="008D0E22" w:rsidRDefault="008D0E22" w:rsidP="00B2580E">
      <w:pPr>
        <w:pStyle w:val="documento"/>
        <w:rPr>
          <w:b/>
        </w:rPr>
      </w:pPr>
    </w:p>
    <w:p w14:paraId="2F252237" w14:textId="77777777" w:rsidR="008D0E22" w:rsidRDefault="008D0E22" w:rsidP="00B2580E">
      <w:pPr>
        <w:pStyle w:val="documento"/>
        <w:rPr>
          <w:b/>
        </w:rPr>
      </w:pPr>
    </w:p>
    <w:p w14:paraId="3E9E6768" w14:textId="77777777" w:rsidR="008D0E22" w:rsidRDefault="008D0E22" w:rsidP="00B2580E">
      <w:pPr>
        <w:pStyle w:val="documento"/>
        <w:rPr>
          <w:b/>
        </w:rPr>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32DE6FE4" w:rsidR="00E21E85" w:rsidRPr="00E20CDA" w:rsidRDefault="00634ECC" w:rsidP="006E0363">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5ECD552F" w:rsidR="00E21E85" w:rsidRPr="00E20CDA" w:rsidRDefault="00621CD8" w:rsidP="00634ECC">
            <w:pPr>
              <w:spacing w:after="0" w:line="240" w:lineRule="auto"/>
              <w:ind w:left="0" w:right="380" w:firstLine="0"/>
              <w:jc w:val="right"/>
              <w:rPr>
                <w:rFonts w:ascii="Gotham Rounded Book" w:hAnsi="Gotham Rounded Book"/>
                <w:sz w:val="20"/>
                <w:szCs w:val="20"/>
              </w:rPr>
            </w:pPr>
            <w:r w:rsidRPr="00621CD8">
              <w:rPr>
                <w:rFonts w:ascii="Gotham Rounded Book" w:hAnsi="Gotham Rounded Book"/>
                <w:sz w:val="20"/>
                <w:szCs w:val="20"/>
              </w:rPr>
              <w:t>171,144.85</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6B8247FB" w:rsidR="00A952F6" w:rsidRPr="00F03781" w:rsidRDefault="00621CD8" w:rsidP="00CE569D">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0.00</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75846805" w:rsidR="00E21E85" w:rsidRPr="00A952F6" w:rsidRDefault="00621CD8" w:rsidP="00CE569D">
            <w:pPr>
              <w:spacing w:after="0" w:line="240" w:lineRule="auto"/>
              <w:ind w:left="0" w:right="380" w:firstLine="0"/>
              <w:jc w:val="right"/>
              <w:rPr>
                <w:rFonts w:ascii="Gotham Rounded Book" w:hAnsi="Gotham Rounded Book"/>
                <w:sz w:val="20"/>
                <w:szCs w:val="20"/>
              </w:rPr>
            </w:pPr>
            <w:r w:rsidRPr="00621CD8">
              <w:rPr>
                <w:rFonts w:ascii="Gotham Rounded Book" w:hAnsi="Gotham Rounded Book"/>
                <w:sz w:val="20"/>
                <w:szCs w:val="20"/>
              </w:rPr>
              <w:t>177,138.22</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07B11A1A" w:rsidR="00A952F6" w:rsidRPr="00A952F6" w:rsidRDefault="00621CD8" w:rsidP="00834787">
            <w:pPr>
              <w:spacing w:after="0" w:line="240" w:lineRule="auto"/>
              <w:ind w:left="0" w:right="380" w:firstLine="0"/>
              <w:jc w:val="right"/>
              <w:rPr>
                <w:rFonts w:ascii="Gotham Rounded Book" w:hAnsi="Gotham Rounded Book"/>
                <w:sz w:val="20"/>
                <w:szCs w:val="20"/>
              </w:rPr>
            </w:pPr>
            <w:r w:rsidRPr="00621CD8">
              <w:rPr>
                <w:rFonts w:ascii="Gotham Rounded Book" w:hAnsi="Gotham Rounded Book"/>
                <w:sz w:val="20"/>
                <w:szCs w:val="20"/>
              </w:rPr>
              <w:t>102,223.73</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0C4705E5" w:rsidR="00E21E85" w:rsidRPr="00C95A40" w:rsidRDefault="00E21E85" w:rsidP="00F46F5E">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621CD8" w:rsidRPr="00621CD8">
              <w:rPr>
                <w:rFonts w:ascii="Gotham Rounded Book" w:hAnsi="Gotham Rounded Book"/>
                <w:b/>
                <w:sz w:val="20"/>
                <w:szCs w:val="20"/>
              </w:rPr>
              <w:t>450,506.80</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67606463" w:rsidR="002D581E" w:rsidRPr="00E20CDA" w:rsidRDefault="00621CD8" w:rsidP="00621CD8">
            <w:pPr>
              <w:spacing w:after="0" w:line="240" w:lineRule="auto"/>
              <w:ind w:left="0" w:right="282" w:firstLine="0"/>
              <w:jc w:val="right"/>
              <w:rPr>
                <w:rFonts w:ascii="Gotham Rounded Book" w:hAnsi="Gotham Rounded Book"/>
                <w:sz w:val="20"/>
                <w:szCs w:val="20"/>
              </w:rPr>
            </w:pPr>
            <w:r w:rsidRPr="00621CD8">
              <w:rPr>
                <w:rFonts w:ascii="Gotham Rounded Book" w:hAnsi="Gotham Rounded Book"/>
                <w:sz w:val="20"/>
                <w:szCs w:val="20"/>
              </w:rPr>
              <w:t>64,875.38</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40320951" w:rsidR="006E0363" w:rsidRDefault="00621CD8" w:rsidP="00621CD8">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0.00</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2E052D4A" w:rsidR="00421273" w:rsidRDefault="00621CD8"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03D5FD26" w:rsidR="00D15155" w:rsidRDefault="00621CD8"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2030C675" w:rsidR="0034323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7588D26C" w:rsidR="0034323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4104F81C" w:rsidR="00343239" w:rsidRPr="007F4D69" w:rsidRDefault="000C5AB6" w:rsidP="00726C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5680B5FD" w:rsidR="00343239" w:rsidRPr="007F4D69" w:rsidRDefault="00621CD8" w:rsidP="009B3289">
            <w:pPr>
              <w:spacing w:after="0" w:line="240" w:lineRule="auto"/>
              <w:ind w:left="0" w:right="74" w:firstLine="0"/>
              <w:jc w:val="right"/>
              <w:rPr>
                <w:rFonts w:ascii="Gotham Rounded Book" w:hAnsi="Gotham Rounded Book"/>
                <w:sz w:val="20"/>
                <w:szCs w:val="20"/>
              </w:rPr>
            </w:pPr>
            <w:r w:rsidRPr="00621CD8">
              <w:rPr>
                <w:rFonts w:ascii="Gotham Rounded Book" w:hAnsi="Gotham Rounded Book"/>
                <w:sz w:val="20"/>
                <w:szCs w:val="20"/>
              </w:rPr>
              <w:t>213,286.37</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36700AFF" w:rsidR="0034323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77A1F570" w:rsidR="007F4D69" w:rsidRPr="007F4D69" w:rsidRDefault="00621CD8"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594829AB"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7D2EFAF0" w:rsidR="007F4D69" w:rsidRPr="007F4D69" w:rsidRDefault="000C5AB6"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3BF5F641" w:rsidR="007F4D69" w:rsidRPr="00CA643A" w:rsidRDefault="000C5AB6" w:rsidP="00CA643A">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79B82775" w:rsidR="00584F90" w:rsidRPr="00584F90" w:rsidRDefault="00621CD8" w:rsidP="00584F90">
            <w:pPr>
              <w:spacing w:after="0" w:line="240" w:lineRule="auto"/>
              <w:ind w:left="0" w:right="74" w:firstLine="0"/>
              <w:jc w:val="right"/>
              <w:rPr>
                <w:rFonts w:ascii="Gotham Rounded Book" w:hAnsi="Gotham Rounded Book"/>
                <w:sz w:val="20"/>
                <w:szCs w:val="20"/>
              </w:rPr>
            </w:pPr>
            <w:r w:rsidRPr="00621CD8">
              <w:rPr>
                <w:rFonts w:ascii="Gotham Rounded Book" w:hAnsi="Gotham Rounded Book"/>
                <w:sz w:val="20"/>
                <w:szCs w:val="20"/>
              </w:rPr>
              <w:t>31,453.23</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7F2F3FBD" w:rsidR="00BB76D0" w:rsidRPr="00E05A89" w:rsidRDefault="00BB76D0" w:rsidP="00952792">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621CD8" w:rsidRPr="00621CD8">
              <w:rPr>
                <w:rFonts w:ascii="Gotham Rounded Book" w:hAnsi="Gotham Rounded Book"/>
                <w:b/>
                <w:sz w:val="20"/>
                <w:szCs w:val="20"/>
              </w:rPr>
              <w:t>309,614.98</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7BE13AC5" w:rsidR="00372E35" w:rsidRPr="00E20CDA" w:rsidRDefault="00621CD8" w:rsidP="00372E35">
            <w:pPr>
              <w:spacing w:after="0" w:line="240" w:lineRule="auto"/>
              <w:ind w:left="0" w:firstLine="0"/>
              <w:jc w:val="right"/>
              <w:rPr>
                <w:rFonts w:ascii="Gotham Rounded Book" w:hAnsi="Gotham Rounded Book"/>
                <w:sz w:val="20"/>
                <w:szCs w:val="20"/>
              </w:rPr>
            </w:pPr>
            <w:r w:rsidRPr="00621CD8">
              <w:rPr>
                <w:rFonts w:ascii="Gotham Rounded Book" w:hAnsi="Gotham Rounded Book"/>
                <w:sz w:val="20"/>
                <w:szCs w:val="20"/>
              </w:rPr>
              <w:t>244,083.03</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518CAAB3" w:rsidR="00BB76D0" w:rsidRPr="004E31C5" w:rsidRDefault="00BB76D0" w:rsidP="00854F64">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621CD8" w:rsidRPr="00621CD8">
              <w:rPr>
                <w:rFonts w:ascii="Gotham Rounded Book" w:hAnsi="Gotham Rounded Book"/>
                <w:b/>
                <w:sz w:val="20"/>
                <w:szCs w:val="20"/>
              </w:rPr>
              <w:t>469,487.82</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3A693F81" w14:textId="77777777" w:rsidR="007D14AE" w:rsidRDefault="007D14AE" w:rsidP="00CF79FB">
      <w:pPr>
        <w:pStyle w:val="ROMANOS"/>
        <w:spacing w:after="0" w:line="240" w:lineRule="exact"/>
        <w:ind w:left="0" w:firstLine="0"/>
        <w:rPr>
          <w:rFonts w:ascii="Gotham Rounded Book" w:hAnsi="Gotham Rounded Book"/>
          <w:sz w:val="22"/>
          <w:szCs w:val="22"/>
        </w:rPr>
      </w:pPr>
    </w:p>
    <w:p w14:paraId="72B613CC"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5C14F72E" w:rsidR="007D14AE" w:rsidRDefault="007D14AE" w:rsidP="007D14AE">
      <w:pPr>
        <w:pStyle w:val="documento"/>
      </w:pPr>
      <w:r>
        <w:t xml:space="preserve">El Instituto recaudó ingresos por </w:t>
      </w:r>
      <w:r w:rsidRPr="007D14AE">
        <w:t>162</w:t>
      </w:r>
      <w:proofErr w:type="gramStart"/>
      <w:r w:rsidRPr="007D14AE">
        <w:t>,106,360.00</w:t>
      </w:r>
      <w:proofErr w:type="gramEnd"/>
      <w:r>
        <w:t xml:space="preserve"> pesos que corresponden a las Transferencias Internas y Asignaciones al Sector Público de la Secretaría de Administración y Finanzas del Gobierno de la Ciudad de México, para la operación del Instituto. Sin embargo, el Instituto realizó el reintegro de recursos disponibles al cierre del ejercicio del 2020 por 908,882.13 pesos, el día 6 de enero de 2021, emitido mediante oficio núm. MX09.INFODF/6DAF/5.8/0005/2021, generando un monto total por Transferencias Internas y Asignaciones al Sector Público de la Secretaría de Administración y Finanzas del Gobierno de la Ciudad de México de </w:t>
      </w:r>
      <w:r w:rsidRPr="007D14AE">
        <w:t>161,197,477.87</w:t>
      </w:r>
      <w:r>
        <w:t xml:space="preserve"> pesos.</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3143601C" w:rsidR="00B2580E" w:rsidRPr="00272BD4" w:rsidRDefault="00C67F39" w:rsidP="008E01B1">
            <w:pPr>
              <w:pStyle w:val="ENCTAB"/>
              <w:spacing w:after="0"/>
              <w:rPr>
                <w:sz w:val="14"/>
                <w:szCs w:val="14"/>
              </w:rPr>
            </w:pPr>
            <w:r>
              <w:rPr>
                <w:sz w:val="14"/>
                <w:szCs w:val="14"/>
              </w:rPr>
              <w:t>20</w:t>
            </w:r>
            <w:r w:rsidR="008E01B1">
              <w:rPr>
                <w:sz w:val="14"/>
                <w:szCs w:val="14"/>
              </w:rPr>
              <w:t>20</w:t>
            </w:r>
          </w:p>
        </w:tc>
        <w:tc>
          <w:tcPr>
            <w:tcW w:w="1418" w:type="dxa"/>
            <w:shd w:val="clear" w:color="auto" w:fill="D2D3D5"/>
            <w:vAlign w:val="center"/>
          </w:tcPr>
          <w:p w14:paraId="071E907B" w14:textId="5BEDF7E7" w:rsidR="00B2580E" w:rsidRPr="00272BD4" w:rsidRDefault="00C67F39" w:rsidP="008E01B1">
            <w:pPr>
              <w:pStyle w:val="ENCTAB"/>
              <w:spacing w:after="0"/>
              <w:rPr>
                <w:sz w:val="14"/>
                <w:szCs w:val="14"/>
              </w:rPr>
            </w:pPr>
            <w:r>
              <w:rPr>
                <w:sz w:val="14"/>
                <w:szCs w:val="14"/>
              </w:rPr>
              <w:t>20</w:t>
            </w:r>
            <w:r w:rsidR="008E01B1">
              <w:rPr>
                <w:sz w:val="14"/>
                <w:szCs w:val="14"/>
              </w:rPr>
              <w:t>19</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5F92E0D9" w:rsidR="00B2580E" w:rsidRPr="0063233F" w:rsidRDefault="00582F70" w:rsidP="00006836">
            <w:pPr>
              <w:pStyle w:val="TEXTAB"/>
              <w:spacing w:after="0"/>
              <w:ind w:right="237"/>
              <w:jc w:val="right"/>
              <w:rPr>
                <w:sz w:val="12"/>
                <w:szCs w:val="12"/>
                <w:lang w:val="es-ES_tradnl"/>
              </w:rPr>
            </w:pPr>
            <w:r w:rsidRPr="00582F70">
              <w:rPr>
                <w:sz w:val="12"/>
                <w:szCs w:val="12"/>
                <w:lang w:val="es-ES_tradnl"/>
              </w:rPr>
              <w:t>200,000.00</w:t>
            </w:r>
          </w:p>
        </w:tc>
        <w:tc>
          <w:tcPr>
            <w:tcW w:w="1418" w:type="dxa"/>
            <w:vAlign w:val="center"/>
          </w:tcPr>
          <w:p w14:paraId="106EDCDA" w14:textId="27E8A971" w:rsidR="00B2580E" w:rsidRPr="0063233F" w:rsidRDefault="002D0411" w:rsidP="00006836">
            <w:pPr>
              <w:pStyle w:val="TEXTAB"/>
              <w:spacing w:after="0"/>
              <w:ind w:right="237"/>
              <w:jc w:val="right"/>
              <w:rPr>
                <w:sz w:val="12"/>
                <w:szCs w:val="12"/>
                <w:lang w:val="es-ES_tradnl"/>
              </w:rPr>
            </w:pPr>
            <w:r>
              <w:rPr>
                <w:sz w:val="12"/>
                <w:szCs w:val="12"/>
                <w:lang w:val="es-ES_tradnl"/>
              </w:rPr>
              <w:t>1,191,057.58</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53A8769E" w:rsidR="00A44101" w:rsidRDefault="00D22A4D"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2D565979" w14:textId="0DDE06A6" w:rsidR="00A44101" w:rsidRDefault="002D0411" w:rsidP="00006836">
            <w:pPr>
              <w:pStyle w:val="TEXTAB"/>
              <w:spacing w:after="0"/>
              <w:ind w:right="237"/>
              <w:jc w:val="right"/>
              <w:rPr>
                <w:sz w:val="12"/>
                <w:szCs w:val="12"/>
                <w:lang w:val="es-ES_tradnl"/>
              </w:rPr>
            </w:pPr>
            <w:r>
              <w:rPr>
                <w:sz w:val="12"/>
                <w:szCs w:val="12"/>
                <w:lang w:val="es-ES_tradnl"/>
              </w:rPr>
              <w:t>191,256.09</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4F643D84" w:rsidR="00C67F39" w:rsidRPr="0063233F" w:rsidRDefault="00582F70" w:rsidP="00C67F39">
            <w:pPr>
              <w:pStyle w:val="TEXTAB"/>
              <w:spacing w:after="0"/>
              <w:ind w:right="237"/>
              <w:jc w:val="right"/>
              <w:rPr>
                <w:sz w:val="12"/>
                <w:szCs w:val="12"/>
                <w:lang w:val="es-ES_tradnl"/>
              </w:rPr>
            </w:pPr>
            <w:r w:rsidRPr="00582F70">
              <w:rPr>
                <w:sz w:val="12"/>
                <w:szCs w:val="12"/>
                <w:lang w:val="es-ES_tradnl"/>
              </w:rPr>
              <w:t>200,000.00</w:t>
            </w:r>
          </w:p>
        </w:tc>
        <w:tc>
          <w:tcPr>
            <w:tcW w:w="1418" w:type="dxa"/>
            <w:shd w:val="clear" w:color="auto" w:fill="D2D3D5"/>
            <w:vAlign w:val="center"/>
          </w:tcPr>
          <w:p w14:paraId="79A1440D" w14:textId="0AAB90A4" w:rsidR="00C67F39" w:rsidRPr="0063233F" w:rsidRDefault="002D0411" w:rsidP="00C67F39">
            <w:pPr>
              <w:pStyle w:val="TEXTAB"/>
              <w:spacing w:after="0"/>
              <w:ind w:right="237"/>
              <w:jc w:val="right"/>
              <w:rPr>
                <w:sz w:val="12"/>
                <w:szCs w:val="12"/>
                <w:lang w:val="es-ES_tradnl"/>
              </w:rPr>
            </w:pPr>
            <w:r>
              <w:rPr>
                <w:sz w:val="12"/>
                <w:szCs w:val="12"/>
                <w:lang w:val="es-ES_tradnl"/>
              </w:rPr>
              <w:t>1,382,313.67</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654589F2" w14:textId="77777777" w:rsidR="00743D1F" w:rsidRDefault="00743D1F" w:rsidP="00743D1F">
      <w:pPr>
        <w:pStyle w:val="documento"/>
      </w:pPr>
      <w:r>
        <w:t>El Pleno del Instituto de Transparencia, Acceso a la Información Pública, Protección de Datos Personales y Rendición de Cuentas de la Ciudad de México, aprobó mediante Acuerdo 1284/SO/15-09/2020 del 15 de septiembre de 2020, la Afectación Externa núm. 12, que corresponde a la ampliación líquida de recursos presupuestales por un monto de $200,000.00, los recursos provienen de los rendimientos financieros generados de febrero a abril y una parte del mes de mayo, derivados de la cuenta de inversión con Número de contrato 2050834165, en BBVA, Bancomer S.A. Los recursos dan suficiencia presupuestal a la partida 5111 “Muebles de estantería y oficina”, con la finalidad de que el Instituto se encuentre en posibilidad de adquirir mobiliario derivado de la obsolescencia y/o desgaste que tienen diversos bienes muebles. Los ingresos se reflejan en el Estado Analítico de Ingresos Presupuestarios como Ingresos por Venta de Bienes y Servicios.</w:t>
      </w:r>
    </w:p>
    <w:p w14:paraId="097B8B95" w14:textId="77777777" w:rsidR="00743D1F" w:rsidRDefault="00743D1F" w:rsidP="00B2580E">
      <w:pPr>
        <w:pStyle w:val="documento"/>
      </w:pPr>
    </w:p>
    <w:tbl>
      <w:tblPr>
        <w:tblStyle w:val="Tablaconcuadrcula"/>
        <w:tblW w:w="0" w:type="auto"/>
        <w:jc w:val="center"/>
        <w:tblLook w:val="04A0" w:firstRow="1" w:lastRow="0" w:firstColumn="1" w:lastColumn="0" w:noHBand="0" w:noVBand="1"/>
      </w:tblPr>
      <w:tblGrid>
        <w:gridCol w:w="1488"/>
        <w:gridCol w:w="2446"/>
      </w:tblGrid>
      <w:tr w:rsidR="00743D1F" w14:paraId="3E818C02" w14:textId="77777777" w:rsidTr="00DB4BF3">
        <w:trPr>
          <w:jc w:val="center"/>
        </w:trPr>
        <w:tc>
          <w:tcPr>
            <w:tcW w:w="1488" w:type="dxa"/>
          </w:tcPr>
          <w:p w14:paraId="076D8EB1" w14:textId="77777777" w:rsidR="00743D1F" w:rsidRPr="00DB53E5" w:rsidRDefault="00743D1F" w:rsidP="00DB4BF3">
            <w:pPr>
              <w:spacing w:after="0" w:line="240" w:lineRule="auto"/>
              <w:ind w:left="0" w:firstLine="0"/>
              <w:jc w:val="center"/>
              <w:rPr>
                <w:rFonts w:ascii="Gotham Rounded Book" w:hAnsi="Gotham Rounded Book"/>
                <w:b/>
              </w:rPr>
            </w:pPr>
            <w:r w:rsidRPr="00DB53E5">
              <w:rPr>
                <w:rFonts w:ascii="Gotham Rounded Book" w:hAnsi="Gotham Rounded Book"/>
                <w:b/>
              </w:rPr>
              <w:t>Mes</w:t>
            </w:r>
          </w:p>
        </w:tc>
        <w:tc>
          <w:tcPr>
            <w:tcW w:w="2446" w:type="dxa"/>
          </w:tcPr>
          <w:p w14:paraId="1107CB0F" w14:textId="77777777" w:rsidR="00743D1F" w:rsidRPr="00557000" w:rsidRDefault="00743D1F" w:rsidP="00DB4BF3">
            <w:pPr>
              <w:spacing w:after="0" w:line="240" w:lineRule="auto"/>
              <w:ind w:left="0" w:firstLine="0"/>
              <w:jc w:val="center"/>
              <w:rPr>
                <w:rFonts w:ascii="Gotham Rounded Book" w:hAnsi="Gotham Rounded Book"/>
              </w:rPr>
            </w:pPr>
            <w:r w:rsidRPr="00557000">
              <w:rPr>
                <w:rFonts w:ascii="Gotham Rounded Book" w:hAnsi="Gotham Rounded Book"/>
              </w:rPr>
              <w:t>Rendimientos financieros</w:t>
            </w:r>
          </w:p>
          <w:p w14:paraId="7305BF1C" w14:textId="77777777" w:rsidR="00743D1F" w:rsidRPr="00557000" w:rsidRDefault="00743D1F" w:rsidP="00DB4BF3">
            <w:pPr>
              <w:spacing w:after="0" w:line="240" w:lineRule="auto"/>
              <w:ind w:left="0" w:firstLine="0"/>
              <w:jc w:val="center"/>
              <w:rPr>
                <w:rFonts w:ascii="Gotham Rounded Book" w:hAnsi="Gotham Rounded Book"/>
              </w:rPr>
            </w:pPr>
            <w:r w:rsidRPr="00557000">
              <w:rPr>
                <w:rFonts w:ascii="Gotham Rounded Book" w:hAnsi="Gotham Rounded Book"/>
              </w:rPr>
              <w:t>(pesos)</w:t>
            </w:r>
          </w:p>
        </w:tc>
      </w:tr>
      <w:tr w:rsidR="00743D1F" w14:paraId="29D1D0EA" w14:textId="77777777" w:rsidTr="00DB4BF3">
        <w:trPr>
          <w:jc w:val="center"/>
        </w:trPr>
        <w:tc>
          <w:tcPr>
            <w:tcW w:w="1488" w:type="dxa"/>
          </w:tcPr>
          <w:p w14:paraId="0AE505DE" w14:textId="77777777" w:rsidR="00743D1F" w:rsidRDefault="00743D1F" w:rsidP="00DB4BF3">
            <w:pPr>
              <w:spacing w:after="0" w:line="240" w:lineRule="auto"/>
              <w:ind w:left="0" w:firstLine="0"/>
              <w:rPr>
                <w:rFonts w:ascii="Gotham Rounded Book" w:hAnsi="Gotham Rounded Book"/>
              </w:rPr>
            </w:pPr>
            <w:r>
              <w:rPr>
                <w:rFonts w:ascii="Gotham Rounded Book" w:hAnsi="Gotham Rounded Book"/>
              </w:rPr>
              <w:t>Febrero</w:t>
            </w:r>
          </w:p>
        </w:tc>
        <w:tc>
          <w:tcPr>
            <w:tcW w:w="2446" w:type="dxa"/>
          </w:tcPr>
          <w:p w14:paraId="0F1EC0A9" w14:textId="77777777" w:rsidR="00743D1F" w:rsidRDefault="00743D1F" w:rsidP="00DB4BF3">
            <w:pPr>
              <w:spacing w:after="0" w:line="240" w:lineRule="auto"/>
              <w:ind w:left="0" w:right="582" w:firstLine="0"/>
              <w:jc w:val="right"/>
              <w:rPr>
                <w:rFonts w:ascii="Gotham Rounded Book" w:hAnsi="Gotham Rounded Book"/>
              </w:rPr>
            </w:pPr>
            <w:r w:rsidRPr="00557000">
              <w:rPr>
                <w:rFonts w:ascii="Gotham Rounded Book" w:hAnsi="Gotham Rounded Book"/>
              </w:rPr>
              <w:t>10,409.35</w:t>
            </w:r>
          </w:p>
        </w:tc>
      </w:tr>
      <w:tr w:rsidR="00743D1F" w14:paraId="22635134" w14:textId="77777777" w:rsidTr="00DB4BF3">
        <w:trPr>
          <w:jc w:val="center"/>
        </w:trPr>
        <w:tc>
          <w:tcPr>
            <w:tcW w:w="1488" w:type="dxa"/>
          </w:tcPr>
          <w:p w14:paraId="7148595A" w14:textId="77777777" w:rsidR="00743D1F" w:rsidRDefault="00743D1F" w:rsidP="00DB4BF3">
            <w:pPr>
              <w:spacing w:after="0" w:line="240" w:lineRule="auto"/>
              <w:ind w:left="0" w:firstLine="0"/>
              <w:rPr>
                <w:rFonts w:ascii="Gotham Rounded Book" w:hAnsi="Gotham Rounded Book"/>
              </w:rPr>
            </w:pPr>
            <w:r>
              <w:rPr>
                <w:rFonts w:ascii="Gotham Rounded Book" w:hAnsi="Gotham Rounded Book"/>
              </w:rPr>
              <w:t>Marzo</w:t>
            </w:r>
          </w:p>
        </w:tc>
        <w:tc>
          <w:tcPr>
            <w:tcW w:w="2446" w:type="dxa"/>
          </w:tcPr>
          <w:p w14:paraId="7F98C24F" w14:textId="77777777" w:rsidR="00743D1F" w:rsidRDefault="00743D1F" w:rsidP="00DB4BF3">
            <w:pPr>
              <w:spacing w:after="0" w:line="240" w:lineRule="auto"/>
              <w:ind w:left="0" w:right="582" w:firstLine="0"/>
              <w:jc w:val="right"/>
              <w:rPr>
                <w:rFonts w:ascii="Gotham Rounded Book" w:hAnsi="Gotham Rounded Book"/>
              </w:rPr>
            </w:pPr>
            <w:r w:rsidRPr="00557000">
              <w:rPr>
                <w:rFonts w:ascii="Gotham Rounded Book" w:hAnsi="Gotham Rounded Book"/>
              </w:rPr>
              <w:t>92,397.15</w:t>
            </w:r>
          </w:p>
        </w:tc>
      </w:tr>
      <w:tr w:rsidR="00743D1F" w14:paraId="172EF2D1" w14:textId="77777777" w:rsidTr="00DB4BF3">
        <w:trPr>
          <w:jc w:val="center"/>
        </w:trPr>
        <w:tc>
          <w:tcPr>
            <w:tcW w:w="1488" w:type="dxa"/>
          </w:tcPr>
          <w:p w14:paraId="572EFF25" w14:textId="77777777" w:rsidR="00743D1F" w:rsidRDefault="00743D1F" w:rsidP="00DB4BF3">
            <w:pPr>
              <w:spacing w:after="0" w:line="240" w:lineRule="auto"/>
              <w:ind w:left="0" w:firstLine="0"/>
              <w:rPr>
                <w:rFonts w:ascii="Gotham Rounded Book" w:hAnsi="Gotham Rounded Book"/>
              </w:rPr>
            </w:pPr>
            <w:r>
              <w:rPr>
                <w:rFonts w:ascii="Gotham Rounded Book" w:hAnsi="Gotham Rounded Book"/>
              </w:rPr>
              <w:t>Abril</w:t>
            </w:r>
          </w:p>
        </w:tc>
        <w:tc>
          <w:tcPr>
            <w:tcW w:w="2446" w:type="dxa"/>
          </w:tcPr>
          <w:p w14:paraId="40FF24AE" w14:textId="77777777" w:rsidR="00743D1F" w:rsidRDefault="00743D1F" w:rsidP="00DB4BF3">
            <w:pPr>
              <w:spacing w:after="0" w:line="240" w:lineRule="auto"/>
              <w:ind w:left="0" w:right="582" w:firstLine="0"/>
              <w:jc w:val="right"/>
              <w:rPr>
                <w:rFonts w:ascii="Gotham Rounded Book" w:hAnsi="Gotham Rounded Book"/>
              </w:rPr>
            </w:pPr>
            <w:r w:rsidRPr="00557000">
              <w:rPr>
                <w:rFonts w:ascii="Gotham Rounded Book" w:hAnsi="Gotham Rounded Book"/>
              </w:rPr>
              <w:t>78,074.26</w:t>
            </w:r>
          </w:p>
        </w:tc>
      </w:tr>
      <w:tr w:rsidR="00743D1F" w14:paraId="09FDE268" w14:textId="77777777" w:rsidTr="00DB4BF3">
        <w:trPr>
          <w:jc w:val="center"/>
        </w:trPr>
        <w:tc>
          <w:tcPr>
            <w:tcW w:w="1488" w:type="dxa"/>
          </w:tcPr>
          <w:p w14:paraId="7F25F9F6" w14:textId="77777777" w:rsidR="00743D1F" w:rsidRDefault="00743D1F" w:rsidP="00DB4BF3">
            <w:pPr>
              <w:spacing w:after="0" w:line="240" w:lineRule="auto"/>
              <w:ind w:left="0" w:firstLine="0"/>
              <w:rPr>
                <w:rFonts w:ascii="Gotham Rounded Book" w:hAnsi="Gotham Rounded Book"/>
              </w:rPr>
            </w:pPr>
            <w:r>
              <w:rPr>
                <w:rFonts w:ascii="Gotham Rounded Book" w:hAnsi="Gotham Rounded Book"/>
              </w:rPr>
              <w:t>Mayo</w:t>
            </w:r>
          </w:p>
        </w:tc>
        <w:tc>
          <w:tcPr>
            <w:tcW w:w="2446" w:type="dxa"/>
          </w:tcPr>
          <w:p w14:paraId="6EF361DA" w14:textId="77777777" w:rsidR="00743D1F" w:rsidRPr="00557000" w:rsidRDefault="00743D1F" w:rsidP="00DB4BF3">
            <w:pPr>
              <w:spacing w:after="0" w:line="240" w:lineRule="auto"/>
              <w:ind w:left="0" w:right="582" w:firstLine="0"/>
              <w:jc w:val="right"/>
              <w:rPr>
                <w:rFonts w:ascii="Gotham Rounded Book" w:hAnsi="Gotham Rounded Book"/>
              </w:rPr>
            </w:pPr>
            <w:r w:rsidRPr="00557000">
              <w:rPr>
                <w:rFonts w:ascii="Gotham Rounded Book" w:hAnsi="Gotham Rounded Book"/>
              </w:rPr>
              <w:t>19,119.24</w:t>
            </w:r>
          </w:p>
        </w:tc>
      </w:tr>
      <w:tr w:rsidR="00743D1F" w14:paraId="2031CF6A" w14:textId="77777777" w:rsidTr="00DB4BF3">
        <w:trPr>
          <w:jc w:val="center"/>
        </w:trPr>
        <w:tc>
          <w:tcPr>
            <w:tcW w:w="1488" w:type="dxa"/>
          </w:tcPr>
          <w:p w14:paraId="6BE36D25" w14:textId="77777777" w:rsidR="00743D1F" w:rsidRDefault="00743D1F" w:rsidP="00DB4BF3">
            <w:pPr>
              <w:spacing w:after="0" w:line="240" w:lineRule="auto"/>
              <w:ind w:left="0" w:firstLine="0"/>
              <w:rPr>
                <w:rFonts w:ascii="Gotham Rounded Book" w:hAnsi="Gotham Rounded Book"/>
              </w:rPr>
            </w:pPr>
            <w:r>
              <w:rPr>
                <w:rFonts w:ascii="Gotham Rounded Book" w:hAnsi="Gotham Rounded Book"/>
              </w:rPr>
              <w:t>Total</w:t>
            </w:r>
          </w:p>
        </w:tc>
        <w:tc>
          <w:tcPr>
            <w:tcW w:w="2446" w:type="dxa"/>
          </w:tcPr>
          <w:p w14:paraId="0EDF1B95" w14:textId="77777777" w:rsidR="00743D1F" w:rsidRPr="00EA7A27" w:rsidRDefault="00743D1F" w:rsidP="00DB4BF3">
            <w:pPr>
              <w:spacing w:after="0" w:line="240" w:lineRule="auto"/>
              <w:ind w:left="0" w:right="582" w:firstLine="0"/>
              <w:jc w:val="right"/>
              <w:rPr>
                <w:rFonts w:ascii="Gotham Rounded Book" w:hAnsi="Gotham Rounded Book"/>
              </w:rPr>
            </w:pPr>
            <w:r>
              <w:rPr>
                <w:rFonts w:ascii="Gotham Rounded Book" w:hAnsi="Gotham Rounded Book"/>
              </w:rPr>
              <w:t>200,000.00</w:t>
            </w:r>
          </w:p>
        </w:tc>
      </w:tr>
    </w:tbl>
    <w:p w14:paraId="63A699B6" w14:textId="77777777" w:rsidR="00743D1F" w:rsidRDefault="00743D1F" w:rsidP="00B2580E">
      <w:pPr>
        <w:pStyle w:val="documento"/>
      </w:pPr>
    </w:p>
    <w:p w14:paraId="0963B902" w14:textId="77777777" w:rsidR="00743D1F" w:rsidRDefault="00743D1F"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08BF3ECC" w:rsidR="00FE5ED9" w:rsidRDefault="00DC5397" w:rsidP="00D90277">
      <w:pPr>
        <w:pStyle w:val="documento"/>
        <w:numPr>
          <w:ilvl w:val="0"/>
          <w:numId w:val="10"/>
        </w:numPr>
        <w:tabs>
          <w:tab w:val="left" w:pos="567"/>
        </w:tabs>
      </w:pPr>
      <w:r>
        <w:t>Servicios Personales por $</w:t>
      </w:r>
      <w:r w:rsidR="00D90277" w:rsidRPr="00D90277">
        <w:t xml:space="preserve"> 115,573,113.29</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2BD8CD89" w14:textId="5DF13F92" w:rsidR="00D90277" w:rsidRDefault="00D90277" w:rsidP="00D90277">
      <w:pPr>
        <w:pStyle w:val="documento"/>
        <w:numPr>
          <w:ilvl w:val="0"/>
          <w:numId w:val="10"/>
        </w:numPr>
        <w:tabs>
          <w:tab w:val="left" w:pos="567"/>
        </w:tabs>
      </w:pPr>
      <w:r>
        <w:t>Servicios Generales por $</w:t>
      </w:r>
      <w:r w:rsidRPr="00D90277">
        <w:t xml:space="preserve"> 25,362,981.04</w:t>
      </w:r>
    </w:p>
    <w:p w14:paraId="0B20A7EC" w14:textId="12A51105" w:rsidR="00D90277" w:rsidRDefault="00D90277" w:rsidP="008146B2">
      <w:pPr>
        <w:pStyle w:val="documento"/>
        <w:ind w:left="567"/>
      </w:pPr>
      <w:r>
        <w:t xml:space="preserve">El gasto corresponde, entre otros, </w:t>
      </w:r>
      <w:r w:rsidR="00DC41C9">
        <w:t xml:space="preserve">a los </w:t>
      </w:r>
      <w:r w:rsidR="00DC41C9" w:rsidRPr="00DC41C9">
        <w:t>servicios de acceso de internet, red</w:t>
      </w:r>
      <w:r w:rsidR="00DC41C9">
        <w:t>es y procesamiento de informació</w:t>
      </w:r>
      <w:r w:rsidR="00DC41C9" w:rsidRPr="00DC41C9">
        <w:t>n</w:t>
      </w:r>
      <w:r w:rsidR="00DC41C9">
        <w:t xml:space="preserve">, al </w:t>
      </w:r>
      <w:r w:rsidR="00DC41C9" w:rsidRPr="00DC41C9">
        <w:t>pago servicio de en la nube para el c</w:t>
      </w:r>
      <w:r w:rsidR="00DC41C9">
        <w:t xml:space="preserve">entro de procesamiento de datos, </w:t>
      </w:r>
      <w:r w:rsidR="00DC41C9" w:rsidRPr="00DC41C9">
        <w:t xml:space="preserve">servicio de cuentas office 365, </w:t>
      </w:r>
      <w:r w:rsidR="00DC41C9">
        <w:t>servicios de consultorí</w:t>
      </w:r>
      <w:r w:rsidR="00DC41C9" w:rsidRPr="00DC41C9">
        <w:t>a administrativa, procesos, técnica y en tecnologías de la información</w:t>
      </w:r>
      <w:r w:rsidR="00DC41C9">
        <w:t xml:space="preserve">, </w:t>
      </w:r>
      <w:r w:rsidR="00DC41C9" w:rsidRPr="00DC41C9">
        <w:t>conservación y mantenimiento menor de inmuebles</w:t>
      </w:r>
      <w:r w:rsidR="00DC41C9">
        <w:t xml:space="preserve">; </w:t>
      </w:r>
      <w:r w:rsidR="00393E72" w:rsidRPr="00393E72">
        <w:t xml:space="preserve">difusión </w:t>
      </w:r>
      <w:r w:rsidR="00393E72">
        <w:t>de las</w:t>
      </w:r>
      <w:r w:rsidR="00393E72" w:rsidRPr="00393E72">
        <w:t xml:space="preserve"> actividades </w:t>
      </w:r>
      <w:r w:rsidR="00393E72">
        <w:t xml:space="preserve">del Instituto; así </w:t>
      </w:r>
      <w:r w:rsidR="00DC41C9">
        <w:t>como en los pagos del impuesto sobre nóminas y los impuestos derivados de una relación laboral.</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5B77AFB2"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767D67">
        <w:rPr>
          <w:rFonts w:ascii="Gotham Rounded Book" w:hAnsi="Gotham Rounded Book"/>
          <w:sz w:val="22"/>
          <w:szCs w:val="22"/>
        </w:rPr>
        <w:t xml:space="preserve">diciembre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20</w:t>
      </w:r>
      <w:r w:rsidR="00D93444" w:rsidRPr="00301BDA">
        <w:rPr>
          <w:rFonts w:ascii="Gotham Rounded Book" w:hAnsi="Gotham Rounded Book"/>
          <w:sz w:val="22"/>
          <w:szCs w:val="22"/>
        </w:rPr>
        <w:t xml:space="preserve"> por </w:t>
      </w:r>
      <w:r w:rsidR="009C3827" w:rsidRPr="009C3827">
        <w:rPr>
          <w:rFonts w:ascii="Gotham Rounded Book" w:hAnsi="Gotham Rounded Book"/>
          <w:sz w:val="22"/>
          <w:szCs w:val="22"/>
        </w:rPr>
        <w:t>2,</w:t>
      </w:r>
      <w:r w:rsidR="00C35D92">
        <w:rPr>
          <w:rFonts w:ascii="Gotham Rounded Book" w:hAnsi="Gotham Rounded Book"/>
          <w:sz w:val="22"/>
          <w:szCs w:val="22"/>
        </w:rPr>
        <w:t xml:space="preserve">894,755.81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5,529,230.70</w:t>
      </w:r>
      <w:r w:rsidR="00A844E8">
        <w:rPr>
          <w:rFonts w:ascii="Gotham Rounded Book" w:hAnsi="Gotham Rounded Book"/>
          <w:sz w:val="22"/>
          <w:szCs w:val="22"/>
        </w:rPr>
        <w:t xml:space="preserve"> pesos</w:t>
      </w:r>
      <w:r w:rsidR="00F01E06">
        <w:rPr>
          <w:rFonts w:ascii="Gotham Rounded Book" w:hAnsi="Gotham Rounded Book"/>
          <w:sz w:val="22"/>
          <w:szCs w:val="22"/>
        </w:rPr>
        <w:t>, de los cuales</w:t>
      </w:r>
      <w:r w:rsidR="00A844E8">
        <w:rPr>
          <w:rFonts w:ascii="Gotham Rounded Book" w:hAnsi="Gotham Rounded Book"/>
          <w:sz w:val="22"/>
          <w:szCs w:val="22"/>
        </w:rPr>
        <w:t xml:space="preserve"> </w:t>
      </w:r>
      <w:r w:rsidR="00F01E06">
        <w:rPr>
          <w:rFonts w:ascii="Gotham Rounded Book" w:hAnsi="Gotham Rounded Book"/>
          <w:sz w:val="22"/>
          <w:szCs w:val="22"/>
        </w:rPr>
        <w:t>c</w:t>
      </w:r>
      <w:r w:rsidR="00A844E8">
        <w:rPr>
          <w:rFonts w:ascii="Gotham Rounded Book" w:hAnsi="Gotham Rounded Book"/>
          <w:sz w:val="22"/>
          <w:szCs w:val="22"/>
        </w:rPr>
        <w:t>orresponde</w:t>
      </w:r>
      <w:r w:rsidR="00F01E06">
        <w:rPr>
          <w:rFonts w:ascii="Gotham Rounded Book" w:hAnsi="Gotham Rounded Book"/>
          <w:sz w:val="22"/>
          <w:szCs w:val="22"/>
        </w:rPr>
        <w:t>n</w:t>
      </w:r>
      <w:r w:rsidR="00A844E8">
        <w:rPr>
          <w:rFonts w:ascii="Gotham Rounded Book" w:hAnsi="Gotham Rounded Book"/>
          <w:sz w:val="22"/>
          <w:szCs w:val="22"/>
        </w:rPr>
        <w:t xml:space="preserve"> </w:t>
      </w:r>
      <w:r w:rsidR="00F01E06">
        <w:rPr>
          <w:rFonts w:ascii="Gotham Rounded Book" w:hAnsi="Gotham Rounded Book"/>
          <w:sz w:val="22"/>
          <w:szCs w:val="22"/>
        </w:rPr>
        <w:t>$</w:t>
      </w:r>
      <w:r w:rsidR="00A844E8">
        <w:rPr>
          <w:rFonts w:ascii="Gotham Rounded Book" w:hAnsi="Gotham Rounded Book"/>
          <w:sz w:val="22"/>
          <w:szCs w:val="22"/>
        </w:rPr>
        <w:t xml:space="preserve">1,204,571.22, </w:t>
      </w:r>
      <w:r w:rsidR="00C35D92">
        <w:rPr>
          <w:rFonts w:ascii="Gotham Rounded Book" w:hAnsi="Gotham Rounded Book"/>
          <w:sz w:val="22"/>
          <w:szCs w:val="22"/>
        </w:rPr>
        <w:t>por la baja de bienes muebles autorizado en la Primera Sesión Ordinaria del Comité de Bienes Muebles</w:t>
      </w:r>
      <w:r w:rsidR="00CC237C">
        <w:rPr>
          <w:rFonts w:ascii="Gotham Rounded Book" w:hAnsi="Gotham Rounded Book"/>
          <w:sz w:val="22"/>
          <w:szCs w:val="22"/>
        </w:rPr>
        <w:t>, celebrada el 30 de enero de 2020</w:t>
      </w:r>
      <w:r w:rsidR="00C35D92">
        <w:rPr>
          <w:rFonts w:ascii="Gotham Rounded Book" w:hAnsi="Gotham Rounded Book"/>
          <w:sz w:val="22"/>
          <w:szCs w:val="22"/>
        </w:rPr>
        <w:t xml:space="preserve"> y mediante Acuerdo CBM/01/003/2020</w:t>
      </w:r>
      <w:r w:rsidR="00CC237C">
        <w:rPr>
          <w:rFonts w:ascii="Gotham Rounded Book" w:hAnsi="Gotham Rounded Book"/>
          <w:sz w:val="22"/>
          <w:szCs w:val="22"/>
        </w:rPr>
        <w:t>, derivado de bienes inexistentes, perdidos por inundación, robados y no localizados; así como</w:t>
      </w:r>
      <w:r w:rsidR="00F01E06">
        <w:rPr>
          <w:rFonts w:ascii="Gotham Rounded Book" w:hAnsi="Gotham Rounded Book"/>
          <w:sz w:val="22"/>
          <w:szCs w:val="22"/>
        </w:rPr>
        <w:t>, la baja de bienes por $4,324,659.49,</w:t>
      </w:r>
      <w:r w:rsidR="00CC237C">
        <w:rPr>
          <w:rFonts w:ascii="Gotham Rounded Book" w:hAnsi="Gotham Rounded Book"/>
          <w:sz w:val="22"/>
          <w:szCs w:val="22"/>
        </w:rPr>
        <w:t xml:space="preserve"> </w:t>
      </w:r>
      <w:r w:rsidR="00F01E06">
        <w:rPr>
          <w:rFonts w:ascii="Gotham Rounded Book" w:hAnsi="Gotham Rounded Book"/>
          <w:sz w:val="22"/>
          <w:szCs w:val="22"/>
        </w:rPr>
        <w:t xml:space="preserve">enajenados en </w:t>
      </w:r>
      <w:r w:rsidR="00CC237C">
        <w:rPr>
          <w:rFonts w:ascii="Gotham Rounded Book" w:hAnsi="Gotham Rounded Book"/>
          <w:sz w:val="22"/>
          <w:szCs w:val="22"/>
        </w:rPr>
        <w:t xml:space="preserve">un lote de 986 bienes muebles inservibles, </w:t>
      </w:r>
      <w:r w:rsidR="0087562D">
        <w:rPr>
          <w:rFonts w:ascii="Gotham Rounded Book" w:hAnsi="Gotham Rounded Book"/>
          <w:sz w:val="22"/>
          <w:szCs w:val="22"/>
        </w:rPr>
        <w:t xml:space="preserve">aprobando </w:t>
      </w:r>
      <w:r w:rsidR="00F01E06">
        <w:rPr>
          <w:rFonts w:ascii="Gotham Rounded Book" w:hAnsi="Gotham Rounded Book"/>
          <w:sz w:val="22"/>
          <w:szCs w:val="22"/>
        </w:rPr>
        <w:t xml:space="preserve">la Adjudicación Directa </w:t>
      </w:r>
      <w:r w:rsidR="00CC237C">
        <w:rPr>
          <w:rFonts w:ascii="Gotham Rounded Book" w:hAnsi="Gotham Rounded Book"/>
          <w:sz w:val="22"/>
          <w:szCs w:val="22"/>
        </w:rPr>
        <w:t>en la Primera Sesión Extraordinaria del Comité de Bienes Muebles, el 16 de octubre de 2020</w:t>
      </w:r>
      <w:r w:rsidR="0087562D">
        <w:rPr>
          <w:rFonts w:ascii="Gotham Rounded Book" w:hAnsi="Gotham Rounded Book"/>
          <w:sz w:val="22"/>
          <w:szCs w:val="22"/>
        </w:rPr>
        <w:t xml:space="preserve"> y concretándose por un monto de 49,618.00 pesos.</w:t>
      </w:r>
    </w:p>
    <w:p w14:paraId="33183E37" w14:textId="77777777" w:rsidR="00321665" w:rsidRDefault="00321665"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553AF3D7"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5D7C3E" w:rsidRPr="00C454B6">
        <w:t>$</w:t>
      </w:r>
      <w:r w:rsidR="00BF103C" w:rsidRPr="00BF103C">
        <w:t xml:space="preserve"> 2</w:t>
      </w:r>
      <w:proofErr w:type="gramStart"/>
      <w:r w:rsidR="00BF103C" w:rsidRPr="00BF103C">
        <w:t>,392,920.85</w:t>
      </w:r>
      <w:proofErr w:type="gramEnd"/>
      <w:r w:rsidR="00B77827">
        <w:t xml:space="preserve"> </w:t>
      </w:r>
      <w:r w:rsidR="004307A0">
        <w:t>y $</w:t>
      </w:r>
      <w:r w:rsidR="00BF103C" w:rsidRPr="00BF103C">
        <w:t xml:space="preserve"> 501,834.96</w:t>
      </w:r>
      <w:r w:rsidR="005D7C3E" w:rsidRPr="00C454B6">
        <w:t>,</w:t>
      </w:r>
      <w:r w:rsidR="00941FAA" w:rsidRPr="00C454B6">
        <w:t xml:space="preserve"> respectivamente.</w:t>
      </w:r>
    </w:p>
    <w:p w14:paraId="2837FCED" w14:textId="77777777" w:rsidR="00561495" w:rsidRDefault="00561495" w:rsidP="00B2580E">
      <w:pPr>
        <w:pStyle w:val="documento"/>
        <w:rPr>
          <w:b/>
        </w:rPr>
      </w:pPr>
    </w:p>
    <w:p w14:paraId="72D5606D" w14:textId="77777777" w:rsidR="009556E7" w:rsidRDefault="009556E7" w:rsidP="00B2580E">
      <w:pPr>
        <w:pStyle w:val="documento"/>
        <w:rPr>
          <w:b/>
        </w:rPr>
      </w:pPr>
    </w:p>
    <w:p w14:paraId="7EE13A11" w14:textId="77777777" w:rsidR="009556E7" w:rsidRDefault="009556E7" w:rsidP="00B2580E">
      <w:pPr>
        <w:pStyle w:val="documento"/>
        <w:rPr>
          <w:b/>
        </w:rPr>
      </w:pPr>
    </w:p>
    <w:p w14:paraId="217DA3C6" w14:textId="77777777" w:rsidR="009556E7" w:rsidRDefault="009556E7" w:rsidP="00B2580E">
      <w:pPr>
        <w:pStyle w:val="documento"/>
        <w:rPr>
          <w:b/>
        </w:rPr>
      </w:pPr>
    </w:p>
    <w:p w14:paraId="6C00B7AC" w14:textId="77777777" w:rsidR="009556E7" w:rsidRDefault="009556E7" w:rsidP="00B2580E">
      <w:pPr>
        <w:pStyle w:val="documento"/>
        <w:rPr>
          <w:b/>
        </w:rPr>
      </w:pPr>
    </w:p>
    <w:p w14:paraId="72932C08" w14:textId="77777777" w:rsidR="009556E7" w:rsidRDefault="009556E7" w:rsidP="00B2580E">
      <w:pPr>
        <w:pStyle w:val="documento"/>
        <w:rPr>
          <w:b/>
        </w:rPr>
      </w:pPr>
    </w:p>
    <w:p w14:paraId="130D1423" w14:textId="77777777" w:rsidR="009556E7" w:rsidRDefault="009556E7" w:rsidP="00B2580E">
      <w:pPr>
        <w:pStyle w:val="documento"/>
        <w:rPr>
          <w:b/>
        </w:rPr>
      </w:pPr>
    </w:p>
    <w:p w14:paraId="77CA4579" w14:textId="77777777" w:rsidR="009556E7" w:rsidRDefault="009556E7" w:rsidP="00B2580E">
      <w:pPr>
        <w:pStyle w:val="documento"/>
        <w:rPr>
          <w:b/>
        </w:rPr>
      </w:pPr>
    </w:p>
    <w:p w14:paraId="25D82D18" w14:textId="77777777" w:rsidR="009556E7" w:rsidRDefault="009556E7"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65CAE4FA" w:rsidR="00B2580E" w:rsidRPr="00272BD4" w:rsidRDefault="00561495" w:rsidP="00D4245B">
            <w:pPr>
              <w:pStyle w:val="ENCTAB"/>
              <w:spacing w:after="0"/>
              <w:rPr>
                <w:sz w:val="14"/>
                <w:szCs w:val="14"/>
              </w:rPr>
            </w:pPr>
            <w:r>
              <w:rPr>
                <w:sz w:val="14"/>
                <w:szCs w:val="14"/>
              </w:rPr>
              <w:t>20</w:t>
            </w:r>
            <w:r w:rsidR="00D4245B">
              <w:rPr>
                <w:sz w:val="14"/>
                <w:szCs w:val="14"/>
              </w:rPr>
              <w:t>20</w:t>
            </w:r>
          </w:p>
        </w:tc>
        <w:tc>
          <w:tcPr>
            <w:tcW w:w="1418" w:type="dxa"/>
            <w:shd w:val="clear" w:color="auto" w:fill="D2D3D5"/>
            <w:vAlign w:val="center"/>
          </w:tcPr>
          <w:p w14:paraId="2432DBE2" w14:textId="36BCB484" w:rsidR="00B2580E" w:rsidRPr="00272BD4" w:rsidRDefault="00B2580E" w:rsidP="00D4245B">
            <w:pPr>
              <w:pStyle w:val="ENCTAB"/>
              <w:spacing w:after="0"/>
              <w:rPr>
                <w:sz w:val="14"/>
                <w:szCs w:val="14"/>
              </w:rPr>
            </w:pPr>
            <w:r>
              <w:rPr>
                <w:sz w:val="14"/>
                <w:szCs w:val="14"/>
              </w:rPr>
              <w:t>20</w:t>
            </w:r>
            <w:r w:rsidR="00D4245B">
              <w:rPr>
                <w:sz w:val="14"/>
                <w:szCs w:val="14"/>
              </w:rPr>
              <w:t>19</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B9C818A"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7B39F4CB" w14:textId="66E2441F"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2E5EE355" w:rsidR="00C11027" w:rsidRPr="0063233F" w:rsidRDefault="005178DC" w:rsidP="00C11027">
            <w:pPr>
              <w:pStyle w:val="TEXTAB"/>
              <w:spacing w:after="0"/>
              <w:ind w:right="237"/>
              <w:jc w:val="right"/>
              <w:rPr>
                <w:sz w:val="12"/>
                <w:szCs w:val="12"/>
                <w:lang w:val="es-ES_tradnl"/>
              </w:rPr>
            </w:pPr>
            <w:r w:rsidRPr="005178DC">
              <w:rPr>
                <w:sz w:val="12"/>
                <w:szCs w:val="12"/>
                <w:lang w:val="es-ES_tradnl"/>
              </w:rPr>
              <w:t>1,229,609.60</w:t>
            </w:r>
          </w:p>
        </w:tc>
        <w:tc>
          <w:tcPr>
            <w:tcW w:w="1418" w:type="dxa"/>
            <w:vAlign w:val="center"/>
          </w:tcPr>
          <w:p w14:paraId="70781CEC" w14:textId="6435C7EB" w:rsidR="00C11027" w:rsidRPr="0063233F" w:rsidRDefault="005178DC" w:rsidP="00C11027">
            <w:pPr>
              <w:pStyle w:val="TEXTAB"/>
              <w:spacing w:after="0"/>
              <w:ind w:right="237"/>
              <w:jc w:val="right"/>
              <w:rPr>
                <w:sz w:val="12"/>
                <w:szCs w:val="12"/>
                <w:lang w:val="es-ES_tradnl"/>
              </w:rPr>
            </w:pPr>
            <w:r>
              <w:rPr>
                <w:sz w:val="12"/>
                <w:szCs w:val="12"/>
                <w:lang w:val="es-ES_tradnl"/>
              </w:rPr>
              <w:t>532,379.10</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11119190"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692CFD49" w14:textId="7B321E65"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4245DAA4" w:rsidR="00342929" w:rsidRPr="0063233F" w:rsidRDefault="005178DC" w:rsidP="00B35B96">
            <w:pPr>
              <w:pStyle w:val="TEXTAB"/>
              <w:spacing w:after="0"/>
              <w:ind w:right="237" w:hanging="740"/>
              <w:jc w:val="left"/>
              <w:rPr>
                <w:sz w:val="12"/>
                <w:szCs w:val="12"/>
                <w:lang w:val="es-ES_tradnl"/>
              </w:rPr>
            </w:pPr>
            <w:r w:rsidRPr="005178DC">
              <w:rPr>
                <w:sz w:val="12"/>
                <w:szCs w:val="12"/>
                <w:lang w:val="es-ES_tradnl"/>
              </w:rPr>
              <w:t>1,229,609.60</w:t>
            </w:r>
          </w:p>
        </w:tc>
        <w:tc>
          <w:tcPr>
            <w:tcW w:w="1276" w:type="dxa"/>
            <w:shd w:val="clear" w:color="auto" w:fill="D2D3D5"/>
            <w:vAlign w:val="center"/>
          </w:tcPr>
          <w:p w14:paraId="1873EF04" w14:textId="3DD08C7E" w:rsidR="00342929" w:rsidRPr="0063233F" w:rsidRDefault="005178DC" w:rsidP="00B73E8C">
            <w:pPr>
              <w:pStyle w:val="TEXTAB"/>
              <w:spacing w:after="0"/>
              <w:ind w:right="237" w:hanging="791"/>
              <w:jc w:val="right"/>
              <w:rPr>
                <w:sz w:val="12"/>
                <w:szCs w:val="12"/>
                <w:lang w:val="es-ES_tradnl"/>
              </w:rPr>
            </w:pPr>
            <w:r>
              <w:rPr>
                <w:sz w:val="12"/>
                <w:szCs w:val="12"/>
                <w:lang w:val="es-ES_tradnl"/>
              </w:rPr>
              <w:t>532,379.10</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26EC0D71" w:rsidR="009845F4" w:rsidRPr="00272BD4" w:rsidRDefault="00561495" w:rsidP="001E39C2">
            <w:pPr>
              <w:pStyle w:val="ENCTAB"/>
              <w:spacing w:after="0"/>
              <w:rPr>
                <w:sz w:val="14"/>
                <w:szCs w:val="14"/>
              </w:rPr>
            </w:pPr>
            <w:r>
              <w:rPr>
                <w:sz w:val="14"/>
                <w:szCs w:val="14"/>
              </w:rPr>
              <w:t>20</w:t>
            </w:r>
            <w:r w:rsidR="001E39C2">
              <w:rPr>
                <w:sz w:val="14"/>
                <w:szCs w:val="14"/>
              </w:rPr>
              <w:t>20</w:t>
            </w:r>
          </w:p>
        </w:tc>
        <w:tc>
          <w:tcPr>
            <w:tcW w:w="1418" w:type="dxa"/>
            <w:shd w:val="clear" w:color="auto" w:fill="D2D3D5"/>
            <w:vAlign w:val="center"/>
          </w:tcPr>
          <w:p w14:paraId="5711AC90" w14:textId="62CD3AAF" w:rsidR="009845F4" w:rsidRPr="00272BD4" w:rsidRDefault="00561495" w:rsidP="001E39C2">
            <w:pPr>
              <w:pStyle w:val="ENCTAB"/>
              <w:spacing w:after="0"/>
              <w:rPr>
                <w:sz w:val="14"/>
                <w:szCs w:val="14"/>
              </w:rPr>
            </w:pPr>
            <w:r>
              <w:rPr>
                <w:sz w:val="14"/>
                <w:szCs w:val="14"/>
              </w:rPr>
              <w:t>20</w:t>
            </w:r>
            <w:r w:rsidR="001E39C2">
              <w:rPr>
                <w:sz w:val="14"/>
                <w:szCs w:val="14"/>
              </w:rPr>
              <w:t>19</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1FACD3AE" w:rsidR="009845F4" w:rsidRPr="0063233F" w:rsidRDefault="005B1DF7" w:rsidP="00295A5D">
            <w:pPr>
              <w:pStyle w:val="TEXTAB"/>
              <w:spacing w:after="0"/>
              <w:ind w:right="237"/>
              <w:jc w:val="right"/>
              <w:rPr>
                <w:sz w:val="12"/>
                <w:szCs w:val="12"/>
                <w:lang w:val="es-ES_tradnl"/>
              </w:rPr>
            </w:pPr>
            <w:r>
              <w:rPr>
                <w:sz w:val="12"/>
                <w:szCs w:val="12"/>
                <w:lang w:val="es-ES_tradnl"/>
              </w:rPr>
              <w:t>0.00</w:t>
            </w:r>
          </w:p>
        </w:tc>
        <w:tc>
          <w:tcPr>
            <w:tcW w:w="1418" w:type="dxa"/>
            <w:vAlign w:val="center"/>
          </w:tcPr>
          <w:p w14:paraId="6A83A2C9" w14:textId="214F015C" w:rsidR="00265222" w:rsidRPr="0063233F" w:rsidRDefault="005B1DF7" w:rsidP="00265222">
            <w:pPr>
              <w:pStyle w:val="TEXTAB"/>
              <w:spacing w:after="0"/>
              <w:ind w:right="237"/>
              <w:jc w:val="right"/>
              <w:rPr>
                <w:sz w:val="12"/>
                <w:szCs w:val="12"/>
                <w:lang w:val="es-ES_tradnl"/>
              </w:rPr>
            </w:pPr>
            <w:r>
              <w:rPr>
                <w:sz w:val="12"/>
                <w:szCs w:val="12"/>
                <w:lang w:val="es-ES_tradnl"/>
              </w:rPr>
              <w:t>0.00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20D41FAD" w:rsidR="00561495" w:rsidRPr="0063233F" w:rsidRDefault="005B1DF7" w:rsidP="00561495">
            <w:pPr>
              <w:pStyle w:val="TEXTAB"/>
              <w:spacing w:after="0"/>
              <w:ind w:right="237"/>
              <w:jc w:val="right"/>
              <w:rPr>
                <w:sz w:val="12"/>
                <w:szCs w:val="12"/>
                <w:lang w:val="es-ES_tradnl"/>
              </w:rPr>
            </w:pPr>
            <w:r>
              <w:rPr>
                <w:sz w:val="12"/>
                <w:szCs w:val="12"/>
                <w:lang w:val="es-ES_tradnl"/>
              </w:rPr>
              <w:t>0.00</w:t>
            </w:r>
          </w:p>
        </w:tc>
        <w:tc>
          <w:tcPr>
            <w:tcW w:w="1418" w:type="dxa"/>
            <w:shd w:val="clear" w:color="auto" w:fill="D2D3D5"/>
            <w:vAlign w:val="center"/>
          </w:tcPr>
          <w:p w14:paraId="03F00027" w14:textId="382DE35B" w:rsidR="00561495" w:rsidRPr="0063233F" w:rsidRDefault="005B1DF7" w:rsidP="00561495">
            <w:pPr>
              <w:pStyle w:val="TEXTAB"/>
              <w:spacing w:after="0"/>
              <w:ind w:right="237"/>
              <w:jc w:val="right"/>
              <w:rPr>
                <w:sz w:val="12"/>
                <w:szCs w:val="12"/>
                <w:lang w:val="es-ES_tradnl"/>
              </w:rPr>
            </w:pPr>
            <w:r>
              <w:rPr>
                <w:sz w:val="12"/>
                <w:szCs w:val="12"/>
                <w:lang w:val="es-ES_tradnl"/>
              </w:rPr>
              <w:t>0.00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03D71B5D" w:rsidR="00C463A6" w:rsidRDefault="00C463A6" w:rsidP="00C463A6">
      <w:pPr>
        <w:pStyle w:val="documento"/>
        <w:tabs>
          <w:tab w:val="left" w:pos="567"/>
        </w:tabs>
      </w:pPr>
      <w:r w:rsidRPr="00B450BE">
        <w:t xml:space="preserve">Las adquisiciones de activos intangibles y de bienes muebles se realizan con los recursos de las transferencias realizadas por la Secretaría de Administración y Finanzas del Gobierno de la Ciudad de México al </w:t>
      </w:r>
      <w:proofErr w:type="spellStart"/>
      <w:r w:rsidRPr="00B450BE">
        <w:t>Info</w:t>
      </w:r>
      <w:proofErr w:type="spellEnd"/>
      <w:r w:rsidRPr="00B450BE">
        <w:t xml:space="preserve"> 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112F597B" w14:textId="7F1D07F1" w:rsidR="00C463A6" w:rsidRDefault="001D0E0E" w:rsidP="000C0E6C">
      <w:pPr>
        <w:pStyle w:val="documento"/>
        <w:numPr>
          <w:ilvl w:val="0"/>
          <w:numId w:val="11"/>
        </w:numPr>
        <w:tabs>
          <w:tab w:val="left" w:pos="6663"/>
        </w:tabs>
      </w:pPr>
      <w:r>
        <w:t>Intang</w:t>
      </w:r>
      <w:r w:rsidR="00302AE1">
        <w:t xml:space="preserve">ibles. </w:t>
      </w:r>
      <w:r w:rsidR="00302AE1">
        <w:tab/>
      </w:r>
      <w:r w:rsidR="000C0E6C" w:rsidRPr="000C0E6C">
        <w:t>9,861,937.29</w:t>
      </w:r>
      <w:r w:rsidR="00B77827" w:rsidRPr="00B77827">
        <w:t xml:space="preserve"> </w:t>
      </w:r>
      <w:r w:rsidR="00C463A6" w:rsidRPr="009D0D0E">
        <w:t>pesos</w:t>
      </w:r>
    </w:p>
    <w:p w14:paraId="7B3F56DA" w14:textId="71A4FFB6" w:rsidR="00AA7E3B" w:rsidRDefault="00AA7E3B" w:rsidP="000C0E6C">
      <w:pPr>
        <w:pStyle w:val="documento"/>
        <w:numPr>
          <w:ilvl w:val="0"/>
          <w:numId w:val="11"/>
        </w:numPr>
        <w:tabs>
          <w:tab w:val="left" w:pos="6521"/>
        </w:tabs>
      </w:pPr>
      <w:r>
        <w:t>Bienes Muebles</w:t>
      </w:r>
      <w:r>
        <w:tab/>
      </w:r>
      <w:r w:rsidR="000C0E6C" w:rsidRPr="000C0E6C">
        <w:t>40,079,206.96</w:t>
      </w:r>
      <w:r w:rsidR="00517F77" w:rsidRPr="00517F77">
        <w:t xml:space="preserve"> </w:t>
      </w:r>
      <w:r>
        <w:t>pesos</w:t>
      </w:r>
    </w:p>
    <w:p w14:paraId="6F83C3BA" w14:textId="77777777" w:rsidR="00C463A6" w:rsidRDefault="00C463A6" w:rsidP="00C463A6">
      <w:pPr>
        <w:pStyle w:val="documento"/>
      </w:pPr>
    </w:p>
    <w:p w14:paraId="04E0D5B0" w14:textId="77777777" w:rsidR="009556E7" w:rsidRDefault="009556E7" w:rsidP="00C463A6">
      <w:pPr>
        <w:pStyle w:val="documento"/>
      </w:pPr>
    </w:p>
    <w:p w14:paraId="4072667A" w14:textId="77777777" w:rsidR="009556E7" w:rsidRDefault="009556E7" w:rsidP="00C463A6">
      <w:pPr>
        <w:pStyle w:val="documento"/>
      </w:pPr>
    </w:p>
    <w:p w14:paraId="7FD2303B" w14:textId="77777777" w:rsidR="009556E7" w:rsidRDefault="009556E7" w:rsidP="00C463A6">
      <w:pPr>
        <w:pStyle w:val="documento"/>
      </w:pPr>
    </w:p>
    <w:p w14:paraId="3D914670" w14:textId="77777777" w:rsidR="009556E7" w:rsidRDefault="009556E7" w:rsidP="00C463A6">
      <w:pPr>
        <w:pStyle w:val="documento"/>
      </w:pPr>
    </w:p>
    <w:p w14:paraId="09480C09" w14:textId="77777777" w:rsidR="009556E7" w:rsidRDefault="009556E7" w:rsidP="00C463A6">
      <w:pPr>
        <w:pStyle w:val="documento"/>
      </w:pPr>
    </w:p>
    <w:p w14:paraId="2C02647A" w14:textId="77777777" w:rsidR="009556E7" w:rsidRDefault="009556E7"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523ED88C" w:rsidR="00B2580E" w:rsidRPr="00272BD4" w:rsidRDefault="00F57CB6" w:rsidP="00EB7DF6">
            <w:pPr>
              <w:pStyle w:val="ENCTAB"/>
              <w:spacing w:after="0"/>
              <w:rPr>
                <w:sz w:val="14"/>
                <w:szCs w:val="14"/>
              </w:rPr>
            </w:pPr>
            <w:r>
              <w:rPr>
                <w:sz w:val="14"/>
                <w:szCs w:val="14"/>
              </w:rPr>
              <w:t>20</w:t>
            </w:r>
            <w:r w:rsidR="00EB7DF6">
              <w:rPr>
                <w:sz w:val="14"/>
                <w:szCs w:val="14"/>
              </w:rPr>
              <w:t>20</w:t>
            </w:r>
          </w:p>
        </w:tc>
        <w:tc>
          <w:tcPr>
            <w:tcW w:w="1418" w:type="dxa"/>
            <w:shd w:val="clear" w:color="auto" w:fill="D2D3D5"/>
            <w:vAlign w:val="center"/>
          </w:tcPr>
          <w:p w14:paraId="2CF7B810" w14:textId="20933458" w:rsidR="00B2580E" w:rsidRPr="00272BD4" w:rsidRDefault="00F57CB6" w:rsidP="00EB7DF6">
            <w:pPr>
              <w:pStyle w:val="ENCTAB"/>
              <w:spacing w:after="0"/>
              <w:rPr>
                <w:sz w:val="14"/>
                <w:szCs w:val="14"/>
              </w:rPr>
            </w:pPr>
            <w:r>
              <w:rPr>
                <w:sz w:val="14"/>
                <w:szCs w:val="14"/>
              </w:rPr>
              <w:t>20</w:t>
            </w:r>
            <w:r w:rsidR="00EB7DF6">
              <w:rPr>
                <w:sz w:val="14"/>
                <w:szCs w:val="14"/>
              </w:rPr>
              <w:t>19</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1FB34C45" w:rsidR="00FF3D06" w:rsidRPr="0063233F" w:rsidRDefault="00197F8C" w:rsidP="00FF3D06">
            <w:pPr>
              <w:pStyle w:val="TEXTAB"/>
              <w:spacing w:after="0"/>
              <w:ind w:right="237"/>
              <w:jc w:val="right"/>
              <w:rPr>
                <w:sz w:val="12"/>
                <w:szCs w:val="12"/>
                <w:lang w:val="es-ES_tradnl"/>
              </w:rPr>
            </w:pPr>
            <w:r w:rsidRPr="00197F8C">
              <w:rPr>
                <w:sz w:val="12"/>
                <w:szCs w:val="12"/>
                <w:lang w:val="es-ES_tradnl"/>
              </w:rPr>
              <w:t>2,392,920.85</w:t>
            </w:r>
          </w:p>
        </w:tc>
        <w:tc>
          <w:tcPr>
            <w:tcW w:w="1418" w:type="dxa"/>
            <w:vAlign w:val="center"/>
          </w:tcPr>
          <w:p w14:paraId="26D29CDB" w14:textId="7BA22E43" w:rsidR="00FF3D06" w:rsidRPr="0063233F" w:rsidRDefault="00236A76" w:rsidP="00FF3D06">
            <w:pPr>
              <w:pStyle w:val="TEXTAB"/>
              <w:spacing w:after="0"/>
              <w:ind w:right="237"/>
              <w:jc w:val="right"/>
              <w:rPr>
                <w:sz w:val="12"/>
                <w:szCs w:val="12"/>
                <w:lang w:val="es-ES_tradnl"/>
              </w:rPr>
            </w:pPr>
            <w:r>
              <w:rPr>
                <w:sz w:val="12"/>
                <w:szCs w:val="12"/>
                <w:lang w:val="es-ES_tradnl"/>
              </w:rPr>
              <w:t>675,886.80</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21E5E6E9" w:rsidR="00FF3D06" w:rsidRPr="0063233F" w:rsidRDefault="00197F8C" w:rsidP="00FF3D06">
            <w:pPr>
              <w:pStyle w:val="TEXTAB"/>
              <w:spacing w:after="0"/>
              <w:ind w:right="237"/>
              <w:jc w:val="right"/>
              <w:rPr>
                <w:sz w:val="12"/>
                <w:szCs w:val="12"/>
                <w:lang w:val="es-ES_tradnl"/>
              </w:rPr>
            </w:pPr>
            <w:r w:rsidRPr="00197F8C">
              <w:rPr>
                <w:sz w:val="12"/>
                <w:szCs w:val="12"/>
                <w:lang w:val="es-ES_tradnl"/>
              </w:rPr>
              <w:t>501,834.96</w:t>
            </w:r>
          </w:p>
        </w:tc>
        <w:tc>
          <w:tcPr>
            <w:tcW w:w="1418" w:type="dxa"/>
            <w:vAlign w:val="center"/>
          </w:tcPr>
          <w:p w14:paraId="4C1C163B" w14:textId="7C6B3BB5" w:rsidR="00FF3D06" w:rsidRPr="0063233F" w:rsidRDefault="00236A76" w:rsidP="00FF3D06">
            <w:pPr>
              <w:pStyle w:val="TEXTAB"/>
              <w:spacing w:after="0"/>
              <w:ind w:right="237"/>
              <w:jc w:val="right"/>
              <w:rPr>
                <w:sz w:val="12"/>
                <w:szCs w:val="12"/>
                <w:lang w:val="es-ES_tradnl"/>
              </w:rPr>
            </w:pPr>
            <w:r>
              <w:rPr>
                <w:sz w:val="12"/>
                <w:szCs w:val="12"/>
                <w:lang w:val="es-ES_tradnl"/>
              </w:rPr>
              <w:t>315,257.76</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26E111B8" w14:textId="77777777" w:rsidR="00C3704E" w:rsidRDefault="00C3704E" w:rsidP="00B2580E">
      <w:pPr>
        <w:pStyle w:val="documento"/>
        <w:rPr>
          <w:b/>
          <w:smallCaps/>
        </w:rPr>
      </w:pPr>
    </w:p>
    <w:p w14:paraId="7146A830" w14:textId="77777777" w:rsidR="009556E7" w:rsidRDefault="009556E7" w:rsidP="00B2580E">
      <w:pPr>
        <w:pStyle w:val="documento"/>
        <w:rPr>
          <w:b/>
          <w:smallCaps/>
        </w:rPr>
      </w:pPr>
    </w:p>
    <w:p w14:paraId="3EAF3BAA" w14:textId="77777777" w:rsidR="009556E7" w:rsidRDefault="009556E7" w:rsidP="00B2580E">
      <w:pPr>
        <w:pStyle w:val="documento"/>
        <w:rPr>
          <w:b/>
          <w:smallCaps/>
        </w:rPr>
      </w:pPr>
    </w:p>
    <w:p w14:paraId="6390B6E8" w14:textId="77777777" w:rsidR="009556E7" w:rsidRDefault="009556E7" w:rsidP="00B2580E">
      <w:pPr>
        <w:pStyle w:val="documento"/>
        <w:rPr>
          <w:b/>
          <w:smallCaps/>
        </w:rPr>
      </w:pPr>
    </w:p>
    <w:p w14:paraId="41C5CD6E" w14:textId="77777777" w:rsidR="009556E7" w:rsidRDefault="009556E7" w:rsidP="00B2580E">
      <w:pPr>
        <w:pStyle w:val="documento"/>
        <w:rPr>
          <w:b/>
          <w:smallCaps/>
        </w:rPr>
      </w:pPr>
    </w:p>
    <w:p w14:paraId="5C66C50F" w14:textId="77777777" w:rsidR="009556E7" w:rsidRDefault="009556E7" w:rsidP="00B2580E">
      <w:pPr>
        <w:pStyle w:val="documento"/>
        <w:rPr>
          <w:b/>
          <w:smallCaps/>
        </w:rPr>
      </w:pPr>
    </w:p>
    <w:p w14:paraId="6DA2B0F4" w14:textId="77777777" w:rsidR="009556E7" w:rsidRDefault="009556E7" w:rsidP="00B2580E">
      <w:pPr>
        <w:pStyle w:val="documento"/>
        <w:rPr>
          <w:b/>
          <w:smallCaps/>
        </w:rPr>
      </w:pPr>
    </w:p>
    <w:p w14:paraId="156B7F0C" w14:textId="77777777" w:rsidR="009556E7" w:rsidRDefault="009556E7" w:rsidP="00B2580E">
      <w:pPr>
        <w:pStyle w:val="documento"/>
        <w:rPr>
          <w:b/>
          <w:smallCaps/>
        </w:rPr>
      </w:pPr>
    </w:p>
    <w:p w14:paraId="57F5B351" w14:textId="77777777" w:rsidR="009556E7" w:rsidRDefault="009556E7" w:rsidP="00B2580E">
      <w:pPr>
        <w:pStyle w:val="documento"/>
        <w:rPr>
          <w:b/>
          <w:smallCaps/>
        </w:rPr>
      </w:pPr>
    </w:p>
    <w:p w14:paraId="07ED20F7" w14:textId="77777777" w:rsidR="009556E7" w:rsidRDefault="009556E7" w:rsidP="00B2580E">
      <w:pPr>
        <w:pStyle w:val="documento"/>
        <w:rPr>
          <w:b/>
          <w:smallCaps/>
        </w:rPr>
      </w:pPr>
    </w:p>
    <w:p w14:paraId="2F1664D8" w14:textId="77777777" w:rsidR="009556E7" w:rsidRDefault="009556E7" w:rsidP="00B2580E">
      <w:pPr>
        <w:pStyle w:val="documento"/>
        <w:rPr>
          <w:b/>
          <w:smallCaps/>
        </w:rPr>
      </w:pPr>
    </w:p>
    <w:p w14:paraId="09278664" w14:textId="77777777" w:rsidR="009556E7" w:rsidRDefault="009556E7" w:rsidP="00B2580E">
      <w:pPr>
        <w:pStyle w:val="documento"/>
        <w:rPr>
          <w:b/>
          <w:smallCaps/>
        </w:rPr>
      </w:pPr>
    </w:p>
    <w:p w14:paraId="4C5B6E96" w14:textId="77777777" w:rsidR="009556E7" w:rsidRDefault="009556E7" w:rsidP="00B2580E">
      <w:pPr>
        <w:pStyle w:val="documento"/>
        <w:rPr>
          <w:b/>
          <w:smallCaps/>
        </w:rPr>
      </w:pPr>
    </w:p>
    <w:p w14:paraId="6AAE5C89" w14:textId="77777777" w:rsidR="009556E7" w:rsidRDefault="009556E7" w:rsidP="00B2580E">
      <w:pPr>
        <w:pStyle w:val="documento"/>
        <w:rPr>
          <w:b/>
          <w:smallCaps/>
        </w:rPr>
      </w:pPr>
    </w:p>
    <w:p w14:paraId="3E20F120" w14:textId="77777777" w:rsidR="009556E7" w:rsidRDefault="009556E7" w:rsidP="00B2580E">
      <w:pPr>
        <w:pStyle w:val="documento"/>
        <w:rPr>
          <w:b/>
          <w:smallCaps/>
        </w:rPr>
      </w:pPr>
    </w:p>
    <w:p w14:paraId="10CF2E0C" w14:textId="77777777" w:rsidR="009556E7" w:rsidRDefault="009556E7" w:rsidP="00B2580E">
      <w:pPr>
        <w:pStyle w:val="documento"/>
        <w:rPr>
          <w:b/>
          <w:smallCaps/>
        </w:rPr>
      </w:pPr>
    </w:p>
    <w:p w14:paraId="77263888" w14:textId="77777777" w:rsidR="009556E7" w:rsidRDefault="009556E7" w:rsidP="00B2580E">
      <w:pPr>
        <w:pStyle w:val="documento"/>
        <w:rPr>
          <w:b/>
          <w:smallCaps/>
        </w:rPr>
      </w:pPr>
    </w:p>
    <w:p w14:paraId="10539FC3" w14:textId="77777777" w:rsidR="009556E7" w:rsidRDefault="009556E7" w:rsidP="00B2580E">
      <w:pPr>
        <w:pStyle w:val="documento"/>
        <w:rPr>
          <w:b/>
          <w:smallCaps/>
        </w:rPr>
      </w:pPr>
    </w:p>
    <w:p w14:paraId="7324B41C" w14:textId="77777777" w:rsidR="009556E7" w:rsidRDefault="009556E7" w:rsidP="00B2580E">
      <w:pPr>
        <w:pStyle w:val="documento"/>
        <w:rPr>
          <w:b/>
          <w:smallCaps/>
        </w:rPr>
      </w:pPr>
    </w:p>
    <w:p w14:paraId="621E7FD2" w14:textId="77777777" w:rsidR="009556E7" w:rsidRDefault="009556E7" w:rsidP="00B2580E">
      <w:pPr>
        <w:pStyle w:val="documento"/>
        <w:rPr>
          <w:b/>
          <w:smallCaps/>
        </w:rPr>
      </w:pPr>
    </w:p>
    <w:p w14:paraId="471A79A0" w14:textId="77777777" w:rsidR="009556E7" w:rsidRDefault="009556E7" w:rsidP="00B2580E">
      <w:pPr>
        <w:pStyle w:val="documento"/>
        <w:rPr>
          <w:b/>
          <w:smallCaps/>
        </w:rPr>
      </w:pPr>
    </w:p>
    <w:p w14:paraId="5DB8BCE6" w14:textId="77777777" w:rsidR="009556E7" w:rsidRDefault="009556E7" w:rsidP="00B2580E">
      <w:pPr>
        <w:pStyle w:val="documento"/>
        <w:rPr>
          <w:b/>
          <w:smallCaps/>
        </w:rPr>
      </w:pPr>
    </w:p>
    <w:p w14:paraId="1333B23A" w14:textId="77777777" w:rsidR="009556E7" w:rsidRDefault="009556E7" w:rsidP="00B2580E">
      <w:pPr>
        <w:pStyle w:val="documento"/>
        <w:rPr>
          <w:b/>
          <w:smallCaps/>
        </w:rPr>
      </w:pPr>
    </w:p>
    <w:p w14:paraId="41491969" w14:textId="77777777" w:rsidR="009556E7" w:rsidRDefault="009556E7" w:rsidP="00B2580E">
      <w:pPr>
        <w:pStyle w:val="documento"/>
        <w:rPr>
          <w:b/>
          <w:smallCaps/>
        </w:rPr>
      </w:pPr>
    </w:p>
    <w:p w14:paraId="2C60AFC8" w14:textId="77777777" w:rsidR="009556E7" w:rsidRDefault="009556E7" w:rsidP="00B2580E">
      <w:pPr>
        <w:pStyle w:val="documento"/>
        <w:rPr>
          <w:b/>
          <w:smallCaps/>
        </w:rPr>
      </w:pPr>
    </w:p>
    <w:p w14:paraId="14444EF2" w14:textId="77777777" w:rsidR="009556E7" w:rsidRDefault="009556E7" w:rsidP="00B2580E">
      <w:pPr>
        <w:pStyle w:val="documento"/>
        <w:rPr>
          <w:b/>
          <w:smallCaps/>
        </w:rPr>
      </w:pPr>
    </w:p>
    <w:p w14:paraId="54E0CE96" w14:textId="77777777" w:rsidR="00C3704E" w:rsidRDefault="00C3704E"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w:t>
      </w:r>
      <w:bookmarkStart w:id="0" w:name="_GoBack"/>
      <w:bookmarkEnd w:id="0"/>
      <w:r w:rsidRPr="00196151">
        <w:t>astos contables.</w:t>
      </w:r>
    </w:p>
    <w:p w14:paraId="749B0B75" w14:textId="0813F3E8" w:rsidR="00E24D9D" w:rsidRDefault="008B7282" w:rsidP="00B2580E">
      <w:pPr>
        <w:pStyle w:val="documento"/>
      </w:pPr>
      <w:r>
        <w:rPr>
          <w:noProof/>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95pt;margin-top:14.75pt;width:554.95pt;height:512.9pt;z-index:251659264;mso-position-horizontal-relative:text;mso-position-vertical-relative:text">
            <v:imagedata r:id="rId8" o:title=""/>
            <w10:wrap type="square" side="right"/>
          </v:shape>
          <o:OLEObject Type="Embed" ProgID="Excel.Sheet.12" ShapeID="_x0000_s1028" DrawAspect="Content" ObjectID="_1671533276" r:id="rId9"/>
        </w:object>
      </w:r>
    </w:p>
    <w:p w14:paraId="74552A35" w14:textId="1270AFC6" w:rsidR="00783D5C" w:rsidRDefault="00783D5C" w:rsidP="00E5374F">
      <w:pPr>
        <w:pStyle w:val="documento"/>
      </w:pPr>
    </w:p>
    <w:p w14:paraId="02411BEF" w14:textId="77777777" w:rsidR="00783D5C" w:rsidRDefault="00783D5C" w:rsidP="00E5374F">
      <w:pPr>
        <w:pStyle w:val="documento"/>
      </w:pPr>
    </w:p>
    <w:p w14:paraId="77688014" w14:textId="77777777" w:rsidR="00E24D9D" w:rsidRDefault="00E24D9D" w:rsidP="00E5374F">
      <w:pPr>
        <w:pStyle w:val="documento"/>
      </w:pPr>
    </w:p>
    <w:bookmarkStart w:id="1" w:name="_MON_1545548817"/>
    <w:bookmarkEnd w:id="1"/>
    <w:p w14:paraId="5E78FEBA" w14:textId="3D440A50" w:rsidR="0070767B" w:rsidRDefault="009556E7" w:rsidP="00C01CBA">
      <w:pPr>
        <w:pStyle w:val="documento"/>
      </w:pPr>
      <w:r>
        <w:object w:dxaOrig="10637" w:dyaOrig="5183" w14:anchorId="6F41FCE6">
          <v:shape id="_x0000_i1025" type="#_x0000_t75" style="width:487.2pt;height:204.6pt" o:ole="">
            <v:imagedata r:id="rId10" o:title=""/>
          </v:shape>
          <o:OLEObject Type="Embed" ProgID="Excel.Sheet.12" ShapeID="_x0000_i1025" DrawAspect="Content" ObjectID="_1671533275" r:id="rId11"/>
        </w:object>
      </w:r>
    </w:p>
    <w:p w14:paraId="764C84BD" w14:textId="77777777" w:rsidR="009556E7" w:rsidRDefault="009556E7" w:rsidP="00C01CBA">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4C477CD7"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009</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20</w:t>
      </w:r>
      <w:r w:rsidR="00E037FC">
        <w:rPr>
          <w:rFonts w:ascii="Gotham Rounded Book" w:hAnsi="Gotham Rounded Book"/>
          <w:sz w:val="22"/>
          <w:szCs w:val="22"/>
        </w:rPr>
        <w:t xml:space="preserve"> del </w:t>
      </w:r>
      <w:r w:rsidR="00D702C7">
        <w:rPr>
          <w:rFonts w:ascii="Gotham Rounded Book" w:hAnsi="Gotham Rounded Book"/>
          <w:sz w:val="22"/>
          <w:szCs w:val="22"/>
        </w:rPr>
        <w:t>20</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20</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 Administración y Finanzas, que al cierre del </w:t>
      </w:r>
      <w:r w:rsidR="00D702C7">
        <w:rPr>
          <w:rFonts w:ascii="Gotham Rounded Book" w:hAnsi="Gotham Rounded Book"/>
          <w:sz w:val="22"/>
          <w:szCs w:val="22"/>
        </w:rPr>
        <w:t>01</w:t>
      </w:r>
      <w:r w:rsidR="00E037FC">
        <w:rPr>
          <w:rFonts w:ascii="Gotham Rounded Book" w:hAnsi="Gotham Rounded Book"/>
          <w:sz w:val="22"/>
          <w:szCs w:val="22"/>
        </w:rPr>
        <w:t xml:space="preserve"> de </w:t>
      </w:r>
      <w:r w:rsidR="00D702C7">
        <w:rPr>
          <w:rFonts w:ascii="Gotham Rounded Book" w:hAnsi="Gotham Rounded Book"/>
          <w:sz w:val="22"/>
          <w:szCs w:val="22"/>
        </w:rPr>
        <w:t xml:space="preserve">enero </w:t>
      </w:r>
      <w:r w:rsidR="00E037FC">
        <w:rPr>
          <w:rFonts w:ascii="Gotham Rounded Book" w:hAnsi="Gotham Rounded Book"/>
          <w:sz w:val="22"/>
          <w:szCs w:val="22"/>
        </w:rPr>
        <w:t xml:space="preserve">de </w:t>
      </w:r>
      <w:r w:rsidRPr="0070342E">
        <w:rPr>
          <w:rFonts w:ascii="Gotham Rounded Book" w:hAnsi="Gotham Rounded Book"/>
          <w:sz w:val="22"/>
          <w:szCs w:val="22"/>
        </w:rPr>
        <w:t>20</w:t>
      </w:r>
      <w:r w:rsidR="00D702C7">
        <w:rPr>
          <w:rFonts w:ascii="Gotham Rounded Book" w:hAnsi="Gotham Rounded Book"/>
          <w:sz w:val="22"/>
          <w:szCs w:val="22"/>
        </w:rPr>
        <w:t>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de $</w:t>
      </w:r>
      <w:r w:rsidR="00D702C7">
        <w:rPr>
          <w:rFonts w:ascii="Gotham Rounded Book" w:hAnsi="Gotham Rounded Book"/>
          <w:sz w:val="22"/>
          <w:szCs w:val="22"/>
        </w:rPr>
        <w:t>20</w:t>
      </w:r>
      <w:proofErr w:type="gramStart"/>
      <w:r w:rsidR="00D702C7">
        <w:rPr>
          <w:rFonts w:ascii="Gotham Rounded Book" w:hAnsi="Gotham Rounded Book"/>
          <w:sz w:val="22"/>
          <w:szCs w:val="22"/>
        </w:rPr>
        <w:t>,520,563.85</w:t>
      </w:r>
      <w:proofErr w:type="gramEnd"/>
      <w:r w:rsidRPr="0070342E">
        <w:rPr>
          <w:rFonts w:ascii="Gotham Rounded Book" w:hAnsi="Gotham Rounded Book"/>
          <w:sz w:val="22"/>
          <w:szCs w:val="22"/>
        </w:rPr>
        <w:t xml:space="preserve">, </w:t>
      </w:r>
      <w:r w:rsidR="008B3B41" w:rsidRPr="0070342E">
        <w:rPr>
          <w:rFonts w:ascii="Gotham Rounded Book" w:hAnsi="Gotham Rounded Book"/>
          <w:sz w:val="22"/>
          <w:szCs w:val="22"/>
        </w:rPr>
        <w:t xml:space="preserve">por litigios judiciales,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E037FC">
        <w:rPr>
          <w:rFonts w:ascii="Gotham Rounded Book" w:hAnsi="Gotham Rounded Book"/>
          <w:sz w:val="22"/>
          <w:szCs w:val="22"/>
        </w:rPr>
        <w:t xml:space="preserve">2020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D702C7">
        <w:rPr>
          <w:rFonts w:ascii="Gotham Rounded Book" w:hAnsi="Gotham Rounded Book"/>
          <w:sz w:val="22"/>
          <w:szCs w:val="22"/>
        </w:rPr>
        <w:t>4,543,984.68</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0B0A340E"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D702C7">
        <w:rPr>
          <w:rFonts w:ascii="Gotham Rounded Book" w:hAnsi="Gotham Rounded Book"/>
          <w:sz w:val="22"/>
          <w:szCs w:val="22"/>
        </w:rPr>
        <w:t>20</w:t>
      </w:r>
      <w:proofErr w:type="gramStart"/>
      <w:r w:rsidR="00D702C7">
        <w:rPr>
          <w:rFonts w:ascii="Gotham Rounded Book" w:hAnsi="Gotham Rounded Book"/>
          <w:sz w:val="22"/>
          <w:szCs w:val="22"/>
        </w:rPr>
        <w:t>,520,563.85</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24B0950"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D702C7">
        <w:rPr>
          <w:rFonts w:ascii="Gotham Rounded Book" w:hAnsi="Gotham Rounded Book"/>
          <w:sz w:val="22"/>
          <w:szCs w:val="22"/>
        </w:rPr>
        <w:t>20</w:t>
      </w:r>
      <w:proofErr w:type="gramStart"/>
      <w:r w:rsidR="00D702C7">
        <w:rPr>
          <w:rFonts w:ascii="Gotham Rounded Book" w:hAnsi="Gotham Rounded Book"/>
          <w:sz w:val="22"/>
          <w:szCs w:val="22"/>
        </w:rPr>
        <w:t>,520,563.85</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2920B710" w14:textId="77777777" w:rsidR="00135D60" w:rsidRDefault="00135D60" w:rsidP="00544D65">
      <w:pPr>
        <w:pStyle w:val="Texto"/>
        <w:spacing w:after="0" w:line="276" w:lineRule="auto"/>
        <w:ind w:left="0" w:firstLine="0"/>
        <w:jc w:val="left"/>
        <w:rPr>
          <w:rFonts w:ascii="Gotham Rounded Book" w:hAnsi="Gotham Rounded Book"/>
          <w:b/>
          <w:sz w:val="22"/>
          <w:szCs w:val="22"/>
        </w:rPr>
      </w:pPr>
    </w:p>
    <w:p w14:paraId="708D3327" w14:textId="77777777" w:rsidR="009556E7" w:rsidRDefault="009556E7" w:rsidP="00544D65">
      <w:pPr>
        <w:pStyle w:val="Texto"/>
        <w:spacing w:after="0" w:line="276" w:lineRule="auto"/>
        <w:ind w:left="0" w:firstLine="0"/>
        <w:jc w:val="left"/>
        <w:rPr>
          <w:rFonts w:ascii="Gotham Rounded Book" w:hAnsi="Gotham Rounded Book"/>
          <w:b/>
          <w:sz w:val="22"/>
          <w:szCs w:val="22"/>
        </w:rPr>
      </w:pPr>
    </w:p>
    <w:p w14:paraId="73F05FF8" w14:textId="77777777" w:rsidR="009556E7" w:rsidRDefault="009556E7" w:rsidP="00544D65">
      <w:pPr>
        <w:pStyle w:val="Texto"/>
        <w:spacing w:after="0" w:line="276" w:lineRule="auto"/>
        <w:ind w:left="0" w:firstLine="0"/>
        <w:jc w:val="left"/>
        <w:rPr>
          <w:rFonts w:ascii="Gotham Rounded Book" w:hAnsi="Gotham Rounded Book"/>
          <w:b/>
          <w:sz w:val="22"/>
          <w:szCs w:val="22"/>
        </w:rPr>
      </w:pPr>
    </w:p>
    <w:p w14:paraId="679E9039" w14:textId="77777777"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52017636" w:rsidR="00932DC9"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F40269">
        <w:rPr>
          <w:rFonts w:ascii="Gotham Rounded Book" w:hAnsi="Gotham Rounded Book"/>
          <w:sz w:val="22"/>
          <w:szCs w:val="22"/>
        </w:rPr>
        <w:t>183</w:t>
      </w:r>
      <w:r w:rsidR="00044624">
        <w:rPr>
          <w:rFonts w:ascii="Gotham Rounded Book" w:hAnsi="Gotham Rounded Book"/>
          <w:sz w:val="22"/>
          <w:szCs w:val="22"/>
        </w:rPr>
        <w:t>,448,360.00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F40269">
        <w:rPr>
          <w:rFonts w:ascii="Gotham Rounded Book" w:hAnsi="Gotham Rounded Book"/>
          <w:sz w:val="22"/>
          <w:szCs w:val="22"/>
        </w:rPr>
        <w:t>20</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6F43E03A"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registró</w:t>
      </w:r>
      <w:r w:rsidR="00266E3C" w:rsidRPr="00522539">
        <w:rPr>
          <w:rFonts w:ascii="Gotham Rounded Book" w:hAnsi="Gotham Rounded Book"/>
          <w:sz w:val="22"/>
          <w:szCs w:val="22"/>
        </w:rPr>
        <w:t xml:space="preserve"> </w:t>
      </w:r>
      <w:r w:rsidR="009463F8" w:rsidRPr="00522539">
        <w:rPr>
          <w:rFonts w:ascii="Gotham Rounded Book" w:hAnsi="Gotham Rounded Book"/>
          <w:sz w:val="22"/>
          <w:szCs w:val="22"/>
        </w:rPr>
        <w:t xml:space="preserve">la </w:t>
      </w:r>
      <w:r w:rsidR="00FB7D4B" w:rsidRPr="00522539">
        <w:rPr>
          <w:rFonts w:ascii="Gotham Rounded Book" w:hAnsi="Gotham Rounded Book"/>
          <w:sz w:val="22"/>
          <w:szCs w:val="22"/>
        </w:rPr>
        <w:t>modificaci</w:t>
      </w:r>
      <w:r w:rsidR="009463F8" w:rsidRPr="00522539">
        <w:rPr>
          <w:rFonts w:ascii="Gotham Rounded Book" w:hAnsi="Gotham Rounded Book"/>
          <w:sz w:val="22"/>
          <w:szCs w:val="22"/>
        </w:rPr>
        <w:t xml:space="preserve">ón </w:t>
      </w:r>
      <w:r w:rsidR="00FB7D4B" w:rsidRPr="00522539">
        <w:rPr>
          <w:rFonts w:ascii="Gotham Rounded Book" w:hAnsi="Gotham Rounded Book"/>
          <w:sz w:val="22"/>
          <w:szCs w:val="22"/>
        </w:rPr>
        <w:t xml:space="preserve">a las asignaciones presupuestales realizadas por la 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814632">
        <w:rPr>
          <w:rFonts w:ascii="Gotham Rounded Book" w:hAnsi="Gotham Rounded Book"/>
          <w:sz w:val="22"/>
          <w:szCs w:val="22"/>
        </w:rPr>
        <w:t xml:space="preserve"> por </w:t>
      </w:r>
      <w:r w:rsidR="00522539" w:rsidRPr="00522539">
        <w:rPr>
          <w:rFonts w:ascii="Gotham Rounded Book" w:hAnsi="Gotham Rounded Book"/>
          <w:sz w:val="22"/>
          <w:szCs w:val="22"/>
        </w:rPr>
        <w:t>un monto de 21,342,000.00 pesos, debido a que el Pleno del Instituto de Transparencia, Acceso a la Información Pública, Protección de Datos Personales y Rendición de Cuentas de la Ciudad de México, aprobó mediante el Acuerdo 1254/SE/11-05/2020, del 11 de mayo de 2020, reducir el presupuesto de egresos del ejercicio fiscal 2020, por un monto de 21,342,000.00 pesos, con motivo de la eme</w:t>
      </w:r>
      <w:r w:rsidR="006A4738">
        <w:rPr>
          <w:rFonts w:ascii="Gotham Rounded Book" w:hAnsi="Gotham Rounded Book"/>
          <w:sz w:val="22"/>
          <w:szCs w:val="22"/>
        </w:rPr>
        <w:t>rgencia sanitaria derivada del C</w:t>
      </w:r>
      <w:r w:rsidR="00522539"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sidR="00522539">
        <w:rPr>
          <w:rFonts w:ascii="Gotham Rounded Book" w:hAnsi="Gotham Rounded Book"/>
          <w:sz w:val="22"/>
          <w:szCs w:val="22"/>
        </w:rPr>
        <w:t>del contagio y propagación del C</w:t>
      </w:r>
      <w:r w:rsidR="00522539" w:rsidRPr="00522539">
        <w:rPr>
          <w:rFonts w:ascii="Gotham Rounded Book" w:hAnsi="Gotham Rounded Book"/>
          <w:sz w:val="22"/>
          <w:szCs w:val="22"/>
        </w:rPr>
        <w:t>ovid-19.</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3940BAA6"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2B14D0">
        <w:rPr>
          <w:rFonts w:ascii="Gotham Rounded Book" w:hAnsi="Gotham Rounded Book"/>
          <w:sz w:val="22"/>
          <w:szCs w:val="22"/>
        </w:rPr>
        <w:t>20</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B14D0">
        <w:rPr>
          <w:rFonts w:ascii="Gotham Rounded Book" w:hAnsi="Gotham Rounded Book"/>
          <w:sz w:val="22"/>
          <w:szCs w:val="22"/>
        </w:rPr>
        <w:t>18</w:t>
      </w:r>
      <w:r w:rsidR="006A2211">
        <w:rPr>
          <w:rFonts w:ascii="Gotham Rounded Book" w:hAnsi="Gotham Rounded Book"/>
          <w:sz w:val="22"/>
          <w:szCs w:val="22"/>
        </w:rPr>
        <w:t>3,448,360.00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2A4C34F3" w14:textId="77777777" w:rsidR="006909D0" w:rsidRDefault="006909D0" w:rsidP="001958EE">
      <w:pPr>
        <w:pStyle w:val="Texto"/>
        <w:spacing w:after="0" w:line="276" w:lineRule="auto"/>
        <w:ind w:left="567" w:hanging="567"/>
        <w:rPr>
          <w:rFonts w:ascii="Gotham Rounded Book" w:hAnsi="Gotham Rounded Book"/>
          <w:sz w:val="22"/>
          <w:szCs w:val="22"/>
        </w:rPr>
      </w:pPr>
    </w:p>
    <w:p w14:paraId="6C753635" w14:textId="77777777" w:rsidR="000E4388" w:rsidRDefault="000E4388" w:rsidP="001958EE">
      <w:pPr>
        <w:pStyle w:val="Texto"/>
        <w:spacing w:after="0" w:line="276" w:lineRule="auto"/>
        <w:ind w:left="567" w:hanging="567"/>
        <w:rPr>
          <w:rFonts w:ascii="Gotham Rounded Book" w:hAnsi="Gotham Rounded Book"/>
          <w:sz w:val="22"/>
          <w:szCs w:val="22"/>
        </w:rPr>
      </w:pPr>
    </w:p>
    <w:p w14:paraId="67AD809E" w14:textId="77777777" w:rsidR="000E4388" w:rsidRDefault="000E4388" w:rsidP="001958EE">
      <w:pPr>
        <w:pStyle w:val="Texto"/>
        <w:spacing w:after="0" w:line="276" w:lineRule="auto"/>
        <w:ind w:left="567" w:hanging="567"/>
        <w:rPr>
          <w:rFonts w:ascii="Gotham Rounded Book" w:hAnsi="Gotham Rounded Book"/>
          <w:sz w:val="22"/>
          <w:szCs w:val="22"/>
        </w:rPr>
      </w:pPr>
    </w:p>
    <w:p w14:paraId="25FF71FD" w14:textId="77777777" w:rsidR="006909D0" w:rsidRPr="005F0CC9" w:rsidRDefault="006909D0" w:rsidP="001958EE">
      <w:pPr>
        <w:pStyle w:val="Texto"/>
        <w:spacing w:after="0" w:line="276" w:lineRule="auto"/>
        <w:ind w:left="567" w:hanging="567"/>
        <w:rPr>
          <w:rFonts w:ascii="Gotham Rounded Book" w:hAnsi="Gotham Rounded Book"/>
          <w:sz w:val="22"/>
          <w:szCs w:val="22"/>
        </w:rPr>
      </w:pPr>
    </w:p>
    <w:p w14:paraId="5D47E5EA" w14:textId="68BE531E"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r w:rsidR="006909D0">
        <w:rPr>
          <w:rFonts w:ascii="Gotham Rounded Book" w:hAnsi="Gotham Rounded Book"/>
          <w:sz w:val="22"/>
          <w:szCs w:val="22"/>
        </w:rPr>
        <w:t xml:space="preserve"> Se realizó el registro debido a la disminución realizada a la Ley de Ingresos Estimada por </w:t>
      </w:r>
      <w:r w:rsidR="006909D0" w:rsidRPr="00522539">
        <w:rPr>
          <w:rFonts w:ascii="Gotham Rounded Book" w:hAnsi="Gotham Rounded Book"/>
          <w:sz w:val="22"/>
          <w:szCs w:val="22"/>
        </w:rPr>
        <w:t>la modificación a las asignaciones presupuestales realizadas por la Secretaría de Administración y Finanzas del Gobierno de la Ciudad de México</w:t>
      </w:r>
      <w:r w:rsidR="006909D0">
        <w:rPr>
          <w:rFonts w:ascii="Gotham Rounded Book" w:hAnsi="Gotham Rounded Book"/>
          <w:sz w:val="22"/>
          <w:szCs w:val="22"/>
        </w:rPr>
        <w:t xml:space="preserve"> por </w:t>
      </w:r>
      <w:r w:rsidR="006909D0" w:rsidRPr="00522539">
        <w:rPr>
          <w:rFonts w:ascii="Gotham Rounded Book" w:hAnsi="Gotham Rounded Book"/>
          <w:sz w:val="22"/>
          <w:szCs w:val="22"/>
        </w:rPr>
        <w:t>un monto de 21,342,000.00 pesos, debido a que el Pleno del Instituto de Transparencia, Acceso a la Información Pública, Protección de Datos Personales y Rendición de Cuentas de la Ciudad de México, aprobó mediante el Acuerdo 1254/SE/11-05/2020, del 11 de mayo de 2020, reducir el presupuesto de egresos del ejercicio fiscal 2020, por un monto de 21,342,000.00 pesos, con motivo de la eme</w:t>
      </w:r>
      <w:r w:rsidR="006909D0">
        <w:rPr>
          <w:rFonts w:ascii="Gotham Rounded Book" w:hAnsi="Gotham Rounded Book"/>
          <w:sz w:val="22"/>
          <w:szCs w:val="22"/>
        </w:rPr>
        <w:t>rgencia sanitaria derivada del C</w:t>
      </w:r>
      <w:r w:rsidR="006909D0"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sidR="006909D0">
        <w:rPr>
          <w:rFonts w:ascii="Gotham Rounded Book" w:hAnsi="Gotham Rounded Book"/>
          <w:sz w:val="22"/>
          <w:szCs w:val="22"/>
        </w:rPr>
        <w:t>del contagio y propagación del C</w:t>
      </w:r>
      <w:r w:rsidR="006909D0" w:rsidRPr="00522539">
        <w:rPr>
          <w:rFonts w:ascii="Gotham Rounded Book" w:hAnsi="Gotham Rounded Book"/>
          <w:sz w:val="22"/>
          <w:szCs w:val="22"/>
        </w:rPr>
        <w:t>ovid-19.</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78E28BF1" w14:textId="77777777" w:rsidR="00B0300C" w:rsidRDefault="00B0300C" w:rsidP="00B0300C">
      <w:pPr>
        <w:ind w:left="567" w:firstLine="0"/>
        <w:rPr>
          <w:rFonts w:ascii="Gotham Rounded Book" w:hAnsi="Gotham Rounded Book"/>
        </w:rPr>
      </w:pPr>
      <w:r>
        <w:rPr>
          <w:rFonts w:ascii="Gotham Rounded Book" w:hAnsi="Gotham Rounded Book"/>
        </w:rPr>
        <w:t>El Pleno del Instituto de Transparencia, Acceso a la Información Pública, Protección de Datos Personales y Rendición de Cuentas de la Ciudad de México, aprobó mediante Acuerdo 1284/SO/15-09/2020 del 15 de septiembre de 2020, la Afectación Externa núm. 12, que corresponde a la ampliación líquida de recursos presupuestales por un monto de $200,000.00, los</w:t>
      </w:r>
      <w:r w:rsidRPr="00074CE9">
        <w:rPr>
          <w:rFonts w:ascii="Gotham Rounded Book" w:hAnsi="Gotham Rounded Book"/>
        </w:rPr>
        <w:t xml:space="preserve"> recursos provienen de </w:t>
      </w:r>
      <w:r>
        <w:rPr>
          <w:rFonts w:ascii="Gotham Rounded Book" w:hAnsi="Gotham Rounded Book"/>
        </w:rPr>
        <w:t xml:space="preserve">los </w:t>
      </w:r>
      <w:r w:rsidRPr="00074CE9">
        <w:rPr>
          <w:rFonts w:ascii="Gotham Rounded Book" w:hAnsi="Gotham Rounded Book"/>
        </w:rPr>
        <w:t xml:space="preserve">rendimientos financieros generados de febrero a </w:t>
      </w:r>
      <w:r>
        <w:rPr>
          <w:rFonts w:ascii="Gotham Rounded Book" w:hAnsi="Gotham Rounded Book"/>
        </w:rPr>
        <w:t xml:space="preserve">abril y una parte del mes de </w:t>
      </w:r>
      <w:r w:rsidRPr="00074CE9">
        <w:rPr>
          <w:rFonts w:ascii="Gotham Rounded Book" w:hAnsi="Gotham Rounded Book"/>
        </w:rPr>
        <w:t>mayo</w:t>
      </w:r>
      <w:r>
        <w:rPr>
          <w:rFonts w:ascii="Gotham Rounded Book" w:hAnsi="Gotham Rounded Book"/>
        </w:rPr>
        <w:t>,</w:t>
      </w:r>
      <w:r w:rsidRPr="00074CE9">
        <w:rPr>
          <w:rFonts w:ascii="Gotham Rounded Book" w:hAnsi="Gotham Rounded Book"/>
        </w:rPr>
        <w:t xml:space="preserve"> derivados de la cuenta de inversión con Número de contrato 205</w:t>
      </w:r>
      <w:r>
        <w:rPr>
          <w:rFonts w:ascii="Gotham Rounded Book" w:hAnsi="Gotham Rounded Book"/>
        </w:rPr>
        <w:t>0834165, en BBVA, Bancomer S.A. Los recursos d</w:t>
      </w:r>
      <w:r w:rsidRPr="00074CE9">
        <w:rPr>
          <w:rFonts w:ascii="Gotham Rounded Book" w:hAnsi="Gotham Rounded Book"/>
        </w:rPr>
        <w:t>an suficiencia presupuestal a la partida 5111 “Muebles de estantería y oficina”, con la finalidad de que el Instituto se encuentre en posibilidad de adquirir mobiliario</w:t>
      </w:r>
      <w:r>
        <w:rPr>
          <w:rFonts w:ascii="Gotham Rounded Book" w:hAnsi="Gotham Rounded Book"/>
        </w:rPr>
        <w:t xml:space="preserve"> derivado de la obsolescencia y/</w:t>
      </w:r>
      <w:r w:rsidRPr="00074CE9">
        <w:rPr>
          <w:rFonts w:ascii="Gotham Rounded Book" w:hAnsi="Gotham Rounded Book"/>
        </w:rPr>
        <w:t>o desgaste que tienen diversos bienes muebles</w:t>
      </w:r>
      <w:r>
        <w:rPr>
          <w:rFonts w:ascii="Gotham Rounded Book" w:hAnsi="Gotham Rounded Book"/>
        </w:rPr>
        <w:t xml:space="preserve">. Los ingresos se reflejan en el Estado Analítico de Ingresos Presupuestarios como </w:t>
      </w:r>
      <w:r w:rsidRPr="0053529A">
        <w:rPr>
          <w:rFonts w:ascii="Gotham Rounded Book" w:hAnsi="Gotham Rounded Book"/>
        </w:rPr>
        <w:t>Ingresos por Venta de Bienes y Servicios</w:t>
      </w:r>
      <w:r>
        <w:rPr>
          <w:rFonts w:ascii="Gotham Rounded Book" w:hAnsi="Gotham Rounded Book"/>
        </w:rPr>
        <w:t>.</w:t>
      </w:r>
    </w:p>
    <w:tbl>
      <w:tblPr>
        <w:tblStyle w:val="Tablaconcuadrcula"/>
        <w:tblW w:w="0" w:type="auto"/>
        <w:jc w:val="center"/>
        <w:tblLook w:val="04A0" w:firstRow="1" w:lastRow="0" w:firstColumn="1" w:lastColumn="0" w:noHBand="0" w:noVBand="1"/>
      </w:tblPr>
      <w:tblGrid>
        <w:gridCol w:w="1488"/>
        <w:gridCol w:w="2446"/>
      </w:tblGrid>
      <w:tr w:rsidR="00B0300C" w14:paraId="16014D2F" w14:textId="77777777" w:rsidTr="00272149">
        <w:trPr>
          <w:jc w:val="center"/>
        </w:trPr>
        <w:tc>
          <w:tcPr>
            <w:tcW w:w="1488" w:type="dxa"/>
          </w:tcPr>
          <w:p w14:paraId="0FBE005C" w14:textId="77777777" w:rsidR="00B0300C" w:rsidRPr="00DB53E5" w:rsidRDefault="00B0300C" w:rsidP="00272149">
            <w:pPr>
              <w:spacing w:after="0" w:line="240" w:lineRule="auto"/>
              <w:ind w:left="0" w:firstLine="0"/>
              <w:jc w:val="center"/>
              <w:rPr>
                <w:rFonts w:ascii="Gotham Rounded Book" w:hAnsi="Gotham Rounded Book"/>
                <w:b/>
              </w:rPr>
            </w:pPr>
            <w:r w:rsidRPr="00DB53E5">
              <w:rPr>
                <w:rFonts w:ascii="Gotham Rounded Book" w:hAnsi="Gotham Rounded Book"/>
                <w:b/>
              </w:rPr>
              <w:t>Mes</w:t>
            </w:r>
          </w:p>
        </w:tc>
        <w:tc>
          <w:tcPr>
            <w:tcW w:w="2446" w:type="dxa"/>
          </w:tcPr>
          <w:p w14:paraId="072083F2" w14:textId="77777777" w:rsidR="00B0300C" w:rsidRPr="00DB53E5" w:rsidRDefault="00B0300C" w:rsidP="00272149">
            <w:pPr>
              <w:spacing w:after="0" w:line="240" w:lineRule="auto"/>
              <w:ind w:left="0" w:firstLine="0"/>
              <w:jc w:val="center"/>
              <w:rPr>
                <w:rFonts w:ascii="Gotham Rounded Book" w:hAnsi="Gotham Rounded Book"/>
                <w:b/>
              </w:rPr>
            </w:pPr>
            <w:r w:rsidRPr="00DB53E5">
              <w:rPr>
                <w:rFonts w:ascii="Gotham Rounded Book" w:hAnsi="Gotham Rounded Book"/>
                <w:b/>
              </w:rPr>
              <w:t>Rendimientos financieros</w:t>
            </w:r>
          </w:p>
          <w:p w14:paraId="05728913" w14:textId="77777777" w:rsidR="00B0300C" w:rsidRPr="00DB53E5" w:rsidRDefault="00B0300C" w:rsidP="00272149">
            <w:pPr>
              <w:spacing w:after="0" w:line="240" w:lineRule="auto"/>
              <w:ind w:left="0" w:firstLine="0"/>
              <w:jc w:val="center"/>
              <w:rPr>
                <w:rFonts w:ascii="Gotham Rounded Book" w:hAnsi="Gotham Rounded Book"/>
                <w:b/>
              </w:rPr>
            </w:pPr>
            <w:r w:rsidRPr="00DB53E5">
              <w:rPr>
                <w:rFonts w:ascii="Gotham Rounded Book" w:hAnsi="Gotham Rounded Book"/>
                <w:b/>
              </w:rPr>
              <w:t>(pesos)</w:t>
            </w:r>
          </w:p>
        </w:tc>
      </w:tr>
      <w:tr w:rsidR="00B0300C" w14:paraId="32090F24" w14:textId="77777777" w:rsidTr="00272149">
        <w:trPr>
          <w:jc w:val="center"/>
        </w:trPr>
        <w:tc>
          <w:tcPr>
            <w:tcW w:w="1488" w:type="dxa"/>
          </w:tcPr>
          <w:p w14:paraId="4AFACF27" w14:textId="77777777" w:rsidR="00B0300C" w:rsidRDefault="00B0300C" w:rsidP="00272149">
            <w:pPr>
              <w:spacing w:after="0" w:line="240" w:lineRule="auto"/>
              <w:ind w:left="0" w:firstLine="0"/>
              <w:rPr>
                <w:rFonts w:ascii="Gotham Rounded Book" w:hAnsi="Gotham Rounded Book"/>
              </w:rPr>
            </w:pPr>
            <w:r>
              <w:rPr>
                <w:rFonts w:ascii="Gotham Rounded Book" w:hAnsi="Gotham Rounded Book"/>
              </w:rPr>
              <w:t>Febrero</w:t>
            </w:r>
          </w:p>
        </w:tc>
        <w:tc>
          <w:tcPr>
            <w:tcW w:w="2446" w:type="dxa"/>
          </w:tcPr>
          <w:p w14:paraId="12E9E529" w14:textId="77777777" w:rsidR="00B0300C" w:rsidRDefault="00B0300C" w:rsidP="00272149">
            <w:pPr>
              <w:spacing w:after="0" w:line="240" w:lineRule="auto"/>
              <w:ind w:left="0" w:right="582" w:firstLine="0"/>
              <w:jc w:val="right"/>
              <w:rPr>
                <w:rFonts w:ascii="Gotham Rounded Book" w:hAnsi="Gotham Rounded Book"/>
              </w:rPr>
            </w:pPr>
            <w:r w:rsidRPr="004D72FB">
              <w:t>10,409.35</w:t>
            </w:r>
          </w:p>
        </w:tc>
      </w:tr>
      <w:tr w:rsidR="00B0300C" w14:paraId="0AEDC212" w14:textId="77777777" w:rsidTr="00272149">
        <w:trPr>
          <w:jc w:val="center"/>
        </w:trPr>
        <w:tc>
          <w:tcPr>
            <w:tcW w:w="1488" w:type="dxa"/>
          </w:tcPr>
          <w:p w14:paraId="2096A93A" w14:textId="77777777" w:rsidR="00B0300C" w:rsidRDefault="00B0300C" w:rsidP="00272149">
            <w:pPr>
              <w:spacing w:after="0" w:line="240" w:lineRule="auto"/>
              <w:ind w:left="0" w:firstLine="0"/>
              <w:rPr>
                <w:rFonts w:ascii="Gotham Rounded Book" w:hAnsi="Gotham Rounded Book"/>
              </w:rPr>
            </w:pPr>
            <w:r>
              <w:rPr>
                <w:rFonts w:ascii="Gotham Rounded Book" w:hAnsi="Gotham Rounded Book"/>
              </w:rPr>
              <w:t>Marzo</w:t>
            </w:r>
          </w:p>
        </w:tc>
        <w:tc>
          <w:tcPr>
            <w:tcW w:w="2446" w:type="dxa"/>
          </w:tcPr>
          <w:p w14:paraId="4EE6E50B" w14:textId="77777777" w:rsidR="00B0300C" w:rsidRDefault="00B0300C" w:rsidP="00272149">
            <w:pPr>
              <w:spacing w:after="0" w:line="240" w:lineRule="auto"/>
              <w:ind w:left="0" w:right="582" w:firstLine="0"/>
              <w:jc w:val="right"/>
              <w:rPr>
                <w:rFonts w:ascii="Gotham Rounded Book" w:hAnsi="Gotham Rounded Book"/>
              </w:rPr>
            </w:pPr>
            <w:r w:rsidRPr="004D72FB">
              <w:t>92,397.15</w:t>
            </w:r>
          </w:p>
        </w:tc>
      </w:tr>
      <w:tr w:rsidR="00B0300C" w14:paraId="7DEAEE6A" w14:textId="77777777" w:rsidTr="00272149">
        <w:trPr>
          <w:jc w:val="center"/>
        </w:trPr>
        <w:tc>
          <w:tcPr>
            <w:tcW w:w="1488" w:type="dxa"/>
          </w:tcPr>
          <w:p w14:paraId="5E3AF5AB" w14:textId="77777777" w:rsidR="00B0300C" w:rsidRDefault="00B0300C" w:rsidP="00272149">
            <w:pPr>
              <w:spacing w:after="0" w:line="240" w:lineRule="auto"/>
              <w:ind w:left="0" w:firstLine="0"/>
              <w:rPr>
                <w:rFonts w:ascii="Gotham Rounded Book" w:hAnsi="Gotham Rounded Book"/>
              </w:rPr>
            </w:pPr>
            <w:r>
              <w:rPr>
                <w:rFonts w:ascii="Gotham Rounded Book" w:hAnsi="Gotham Rounded Book"/>
              </w:rPr>
              <w:t>Abril</w:t>
            </w:r>
          </w:p>
        </w:tc>
        <w:tc>
          <w:tcPr>
            <w:tcW w:w="2446" w:type="dxa"/>
          </w:tcPr>
          <w:p w14:paraId="16EF85C1" w14:textId="77777777" w:rsidR="00B0300C" w:rsidRDefault="00B0300C" w:rsidP="00272149">
            <w:pPr>
              <w:spacing w:after="0" w:line="240" w:lineRule="auto"/>
              <w:ind w:left="0" w:right="582" w:firstLine="0"/>
              <w:jc w:val="right"/>
              <w:rPr>
                <w:rFonts w:ascii="Gotham Rounded Book" w:hAnsi="Gotham Rounded Book"/>
              </w:rPr>
            </w:pPr>
            <w:r w:rsidRPr="004D72FB">
              <w:t>78,074.26</w:t>
            </w:r>
          </w:p>
        </w:tc>
      </w:tr>
      <w:tr w:rsidR="00B0300C" w14:paraId="588CB08A" w14:textId="77777777" w:rsidTr="00272149">
        <w:trPr>
          <w:jc w:val="center"/>
        </w:trPr>
        <w:tc>
          <w:tcPr>
            <w:tcW w:w="1488" w:type="dxa"/>
          </w:tcPr>
          <w:p w14:paraId="38C94647" w14:textId="77777777" w:rsidR="00B0300C" w:rsidRDefault="00B0300C" w:rsidP="00272149">
            <w:pPr>
              <w:spacing w:after="0" w:line="240" w:lineRule="auto"/>
              <w:ind w:left="0" w:firstLine="0"/>
              <w:rPr>
                <w:rFonts w:ascii="Gotham Rounded Book" w:hAnsi="Gotham Rounded Book"/>
              </w:rPr>
            </w:pPr>
            <w:r>
              <w:rPr>
                <w:rFonts w:ascii="Gotham Rounded Book" w:hAnsi="Gotham Rounded Book"/>
              </w:rPr>
              <w:t>Mayo</w:t>
            </w:r>
          </w:p>
        </w:tc>
        <w:tc>
          <w:tcPr>
            <w:tcW w:w="2446" w:type="dxa"/>
          </w:tcPr>
          <w:p w14:paraId="1C99EFAE" w14:textId="77777777" w:rsidR="00B0300C" w:rsidRPr="00EA7A27" w:rsidRDefault="00B0300C" w:rsidP="00272149">
            <w:pPr>
              <w:spacing w:after="0" w:line="240" w:lineRule="auto"/>
              <w:ind w:left="0" w:right="582" w:firstLine="0"/>
              <w:jc w:val="right"/>
            </w:pPr>
            <w:r w:rsidRPr="00EA7A27">
              <w:t>19,119.24</w:t>
            </w:r>
          </w:p>
        </w:tc>
      </w:tr>
      <w:tr w:rsidR="00B0300C" w14:paraId="42F949E2" w14:textId="77777777" w:rsidTr="00272149">
        <w:trPr>
          <w:jc w:val="center"/>
        </w:trPr>
        <w:tc>
          <w:tcPr>
            <w:tcW w:w="1488" w:type="dxa"/>
          </w:tcPr>
          <w:p w14:paraId="285D7F2B" w14:textId="77777777" w:rsidR="00B0300C" w:rsidRDefault="00B0300C" w:rsidP="00272149">
            <w:pPr>
              <w:spacing w:after="0" w:line="240" w:lineRule="auto"/>
              <w:ind w:left="0" w:firstLine="0"/>
              <w:rPr>
                <w:rFonts w:ascii="Gotham Rounded Book" w:hAnsi="Gotham Rounded Book"/>
              </w:rPr>
            </w:pPr>
            <w:r>
              <w:rPr>
                <w:rFonts w:ascii="Gotham Rounded Book" w:hAnsi="Gotham Rounded Book"/>
              </w:rPr>
              <w:t>Total</w:t>
            </w:r>
          </w:p>
        </w:tc>
        <w:tc>
          <w:tcPr>
            <w:tcW w:w="2446" w:type="dxa"/>
          </w:tcPr>
          <w:p w14:paraId="25E450B7" w14:textId="77777777" w:rsidR="00B0300C" w:rsidRPr="00C44889" w:rsidRDefault="00B0300C" w:rsidP="00272149">
            <w:pPr>
              <w:spacing w:after="0" w:line="240" w:lineRule="auto"/>
              <w:ind w:left="0" w:right="582" w:firstLine="0"/>
              <w:jc w:val="right"/>
            </w:pPr>
            <w:r w:rsidRPr="00C44889">
              <w:t>200,000.00</w:t>
            </w:r>
          </w:p>
        </w:tc>
      </w:tr>
    </w:tbl>
    <w:p w14:paraId="70942EED" w14:textId="77777777" w:rsidR="00B0300C" w:rsidRDefault="00B0300C" w:rsidP="00B0300C">
      <w:pPr>
        <w:ind w:left="0" w:firstLine="0"/>
        <w:rPr>
          <w:rFonts w:ascii="Gotham Rounded Book" w:hAnsi="Gotham Rounded Book"/>
        </w:rPr>
      </w:pPr>
    </w:p>
    <w:p w14:paraId="2D1379A4" w14:textId="5F2E493D"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w:t>
      </w:r>
      <w:r w:rsidR="00A7130E">
        <w:lastRenderedPageBreak/>
        <w:t xml:space="preserve">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lastRenderedPageBreak/>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77777777" w:rsidR="008B5272" w:rsidRDefault="008B5272"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lastRenderedPageBreak/>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4A55844B"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lastRenderedPageBreak/>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13C83D84"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2B14D0">
        <w:t>20</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23</w:t>
      </w:r>
      <w:r w:rsidR="006A545E" w:rsidRPr="004473DF">
        <w:t xml:space="preserve"> de diciembre de 201</w:t>
      </w:r>
      <w:r w:rsidR="002B14D0">
        <w:t>9</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66440E">
        <w:t xml:space="preserve"> 2020</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 xml:space="preserve">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w:t>
      </w:r>
      <w:r>
        <w:lastRenderedPageBreak/>
        <w:t>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168F40D2" w:rsidR="00BD0E8B" w:rsidRDefault="00BD0E8B" w:rsidP="00BD0E8B">
      <w:pPr>
        <w:pStyle w:val="documento"/>
      </w:pPr>
    </w:p>
    <w:p w14:paraId="10B67090" w14:textId="42090799" w:rsidR="00B0300C" w:rsidRDefault="00B0300C" w:rsidP="00BD0E8B">
      <w:pPr>
        <w:pStyle w:val="documento"/>
      </w:pPr>
    </w:p>
    <w:p w14:paraId="6F7556C4" w14:textId="038E8369" w:rsidR="00B0300C" w:rsidRDefault="00B0300C" w:rsidP="00BD0E8B">
      <w:pPr>
        <w:pStyle w:val="documento"/>
      </w:pPr>
    </w:p>
    <w:p w14:paraId="0D53FD55" w14:textId="77777777" w:rsidR="00B0300C" w:rsidRDefault="00B0300C"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104A8F8D"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E224F2">
        <w:rPr>
          <w:rFonts w:ascii="Gotham Rounded Book" w:hAnsi="Gotham Rounded Book"/>
        </w:rPr>
        <w:t>3</w:t>
      </w:r>
      <w:r w:rsidR="009556E7">
        <w:rPr>
          <w:rFonts w:ascii="Gotham Rounded Book" w:hAnsi="Gotham Rounded Book"/>
        </w:rPr>
        <w:t>1</w:t>
      </w:r>
      <w:r w:rsidR="00074CE9">
        <w:rPr>
          <w:rFonts w:ascii="Gotham Rounded Book" w:hAnsi="Gotham Rounded Book"/>
        </w:rPr>
        <w:t xml:space="preserve"> de </w:t>
      </w:r>
      <w:r w:rsidR="009556E7">
        <w:rPr>
          <w:rFonts w:ascii="Gotham Rounded Book" w:hAnsi="Gotham Rounded Book"/>
        </w:rPr>
        <w:t xml:space="preserve">diciembre </w:t>
      </w:r>
      <w:r w:rsidR="00C46406">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20</w:t>
      </w:r>
      <w:r w:rsidR="003226FB" w:rsidRPr="003226FB">
        <w:rPr>
          <w:rFonts w:ascii="Gotham Rounded Book" w:hAnsi="Gotham Rounded Book"/>
        </w:rPr>
        <w:t>, las ministraciones de recursos recibidas por el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F088C51" w14:textId="0FED2A45" w:rsidR="000D2890" w:rsidRDefault="000D2890" w:rsidP="000D2890">
      <w:pPr>
        <w:pStyle w:val="documento"/>
      </w:pPr>
      <w:r>
        <w:t xml:space="preserve">El total de las ministraciones recibidas por el Instituto de Transparencia, Acceso a la Información Pública, Protección de Datos Personales y Rendición de Cuentas de la Ciudad de México, fueron por </w:t>
      </w:r>
      <w:r w:rsidRPr="000D2890">
        <w:t>162</w:t>
      </w:r>
      <w:proofErr w:type="gramStart"/>
      <w:r w:rsidRPr="000D2890">
        <w:t>,106,360.00</w:t>
      </w:r>
      <w:proofErr w:type="gramEnd"/>
      <w:r>
        <w:t xml:space="preserve">, sin embargo, el Instituto, reintegró el importe disponible al cierre del ejercicio 2020 por </w:t>
      </w:r>
      <w:r w:rsidRPr="000D2890">
        <w:t>908,882.13 pesos,</w:t>
      </w:r>
      <w:r>
        <w:t xml:space="preserve"> el día 6 de enero de 2021 y emitido con el oficio núm. MX09.INFODF/6DAF/5.8/0005/2021, generando un monto total por Transferencias Internas y Asignaciones al Sector Público de la Secretaría de Administración y Finanzas del Gobierno de la Ciudad de México de </w:t>
      </w:r>
      <w:r w:rsidRPr="000D2890">
        <w:t>161,197,477.87 pesos</w:t>
      </w:r>
      <w:r>
        <w:t>.</w:t>
      </w:r>
    </w:p>
    <w:p w14:paraId="7194820F" w14:textId="77777777" w:rsidR="000D2890" w:rsidRDefault="000D2890"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33D042C1"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 xml:space="preserve">de enero al </w:t>
      </w:r>
      <w:r w:rsidR="006D4114">
        <w:rPr>
          <w:rFonts w:ascii="Gotham Rounded Book" w:hAnsi="Gotham Rounded Book"/>
        </w:rPr>
        <w:t>3</w:t>
      </w:r>
      <w:r w:rsidR="000D2890">
        <w:rPr>
          <w:rFonts w:ascii="Gotham Rounded Book" w:hAnsi="Gotham Rounded Book"/>
        </w:rPr>
        <w:t>1</w:t>
      </w:r>
      <w:r w:rsidR="00E65DB3">
        <w:rPr>
          <w:rFonts w:ascii="Gotham Rounded Book" w:hAnsi="Gotham Rounded Book"/>
        </w:rPr>
        <w:t xml:space="preserve"> de </w:t>
      </w:r>
      <w:r w:rsidR="000D2890">
        <w:rPr>
          <w:rFonts w:ascii="Gotham Rounded Book" w:hAnsi="Gotham Rounded Book"/>
        </w:rPr>
        <w:t xml:space="preserve">diciembre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20</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03A629D6" w14:textId="041B6365" w:rsidR="005F6BEF" w:rsidRDefault="005F6BEF" w:rsidP="00015040">
      <w:pPr>
        <w:ind w:left="0" w:firstLine="0"/>
        <w:rPr>
          <w:rFonts w:ascii="Gotham Rounded Book" w:hAnsi="Gotham Rounded Book"/>
        </w:rPr>
      </w:pPr>
      <w:r>
        <w:rPr>
          <w:rFonts w:ascii="Gotham Rounded Book" w:hAnsi="Gotham Rounded Book"/>
        </w:rPr>
        <w:t xml:space="preserve">El presupuesto modificado corresponde a </w:t>
      </w:r>
      <w:r w:rsidR="004679BF">
        <w:rPr>
          <w:rFonts w:ascii="Gotham Rounded Book" w:hAnsi="Gotham Rounded Book"/>
        </w:rPr>
        <w:t>$</w:t>
      </w:r>
      <w:r>
        <w:rPr>
          <w:rFonts w:ascii="Gotham Rounded Book" w:hAnsi="Gotham Rounded Book"/>
        </w:rPr>
        <w:t>162</w:t>
      </w:r>
      <w:proofErr w:type="gramStart"/>
      <w:r>
        <w:rPr>
          <w:rFonts w:ascii="Gotham Rounded Book" w:hAnsi="Gotham Rounded Book"/>
        </w:rPr>
        <w:t>,306,360</w:t>
      </w:r>
      <w:proofErr w:type="gramEnd"/>
      <w:r w:rsidR="004679BF">
        <w:rPr>
          <w:rFonts w:ascii="Gotham Rounded Book" w:hAnsi="Gotham Rounded Book"/>
        </w:rPr>
        <w:t xml:space="preserve">, </w:t>
      </w:r>
      <w:r>
        <w:rPr>
          <w:rFonts w:ascii="Gotham Rounded Book" w:hAnsi="Gotham Rounded Book"/>
        </w:rPr>
        <w:t xml:space="preserve">por los recursos recibidos de la Secretaría de Administración y Finanzas y los </w:t>
      </w:r>
      <w:r w:rsidR="004679BF">
        <w:rPr>
          <w:rFonts w:ascii="Gotham Rounded Book" w:hAnsi="Gotham Rounded Book"/>
        </w:rPr>
        <w:t>$200,000.00,</w:t>
      </w:r>
      <w:r>
        <w:rPr>
          <w:rFonts w:ascii="Gotham Rounded Book" w:hAnsi="Gotham Rounded Book"/>
        </w:rPr>
        <w:t xml:space="preserve">incrementados en techo presupuestal, sin embargo, en el cierre del ejercicio, se determinó un remanente de presupuesto no ejercido por </w:t>
      </w:r>
      <w:r w:rsidRPr="005F6BEF">
        <w:rPr>
          <w:rFonts w:ascii="Gotham Rounded Book" w:hAnsi="Gotham Rounded Book"/>
        </w:rPr>
        <w:t>908,882.13 pesos</w:t>
      </w:r>
      <w:r>
        <w:rPr>
          <w:rFonts w:ascii="Gotham Rounded Book" w:hAnsi="Gotham Rounded Book"/>
        </w:rPr>
        <w:t>, los cuales fueron reintegrados a la Secretaría el día 6 de enero de 2020, determinando un presupuesto modificado por $161,397,477.87 pesos.</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3E5DAADD" w:rsidR="00015040" w:rsidRPr="001233CF" w:rsidRDefault="000234F0" w:rsidP="00954A0A">
            <w:pPr>
              <w:spacing w:after="0"/>
              <w:jc w:val="right"/>
              <w:rPr>
                <w:rFonts w:ascii="Gotham Rounded Book" w:hAnsi="Gotham Rounded Book"/>
              </w:rPr>
            </w:pPr>
            <w:r>
              <w:rPr>
                <w:rFonts w:ascii="Gotham Rounded Book" w:hAnsi="Gotham Rounded Book"/>
              </w:rPr>
              <w:t>$</w:t>
            </w:r>
            <w:r w:rsidR="000D2890" w:rsidRPr="000D2890">
              <w:rPr>
                <w:rFonts w:ascii="Gotham Rounded Book" w:hAnsi="Gotham Rounded Book"/>
              </w:rPr>
              <w:t>161,397,477.87</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37C14AFD" w:rsidR="00015040" w:rsidRPr="009D3AA6" w:rsidRDefault="000234F0" w:rsidP="00437D15">
            <w:pPr>
              <w:spacing w:after="0"/>
              <w:jc w:val="right"/>
              <w:rPr>
                <w:rFonts w:ascii="Gotham Rounded Book" w:hAnsi="Gotham Rounded Book"/>
              </w:rPr>
            </w:pPr>
            <w:r>
              <w:rPr>
                <w:rFonts w:ascii="Gotham Rounded Book" w:hAnsi="Gotham Rounded Book"/>
              </w:rPr>
              <w:t>$</w:t>
            </w:r>
            <w:r w:rsidR="000D2890" w:rsidRPr="000D2890">
              <w:rPr>
                <w:rFonts w:ascii="Gotham Rounded Book" w:hAnsi="Gotham Rounded Book"/>
              </w:rPr>
              <w:t>161,397,477.87</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6AED8B2F" w:rsidR="00754404" w:rsidRPr="009D3AA6" w:rsidRDefault="000234F0" w:rsidP="004024A9">
            <w:pPr>
              <w:spacing w:after="0"/>
              <w:jc w:val="right"/>
              <w:rPr>
                <w:rFonts w:ascii="Gotham Rounded Book" w:hAnsi="Gotham Rounded Book"/>
              </w:rPr>
            </w:pPr>
            <w:r>
              <w:rPr>
                <w:rFonts w:ascii="Gotham Rounded Book" w:hAnsi="Gotham Rounded Book"/>
              </w:rPr>
              <w:t>$</w:t>
            </w:r>
            <w:r w:rsidR="004024A9">
              <w:rPr>
                <w:rFonts w:ascii="Gotham Rounded Book" w:hAnsi="Gotham Rounded Book"/>
              </w:rPr>
              <w:t>0.00</w:t>
            </w:r>
          </w:p>
        </w:tc>
      </w:tr>
    </w:tbl>
    <w:p w14:paraId="0C5E8651" w14:textId="4209FE79" w:rsidR="00A4409D" w:rsidRDefault="00A4409D" w:rsidP="00735F7E">
      <w:pPr>
        <w:pStyle w:val="Textoindependiente22"/>
        <w:rPr>
          <w:rFonts w:ascii="Gotham Rounded Book" w:eastAsia="Calibri" w:hAnsi="Gotham Rounded Book"/>
          <w:b/>
          <w:sz w:val="22"/>
          <w:szCs w:val="22"/>
          <w:lang w:val="es-MX" w:eastAsia="en-US"/>
        </w:rPr>
      </w:pPr>
    </w:p>
    <w:p w14:paraId="1EB92CF1" w14:textId="6FA99E5A" w:rsidR="00A41F9F" w:rsidRDefault="00A41F9F" w:rsidP="00A41F9F">
      <w:pPr>
        <w:pStyle w:val="Texto"/>
        <w:autoSpaceDE w:val="0"/>
        <w:autoSpaceDN w:val="0"/>
        <w:adjustRightInd w:val="0"/>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Pleno del Instituto de Transparencia, Acceso a la Información Pública, Protección de Datos Personales y Rendición de Cuentas de la Ciudad de México, aprobó mediante Acuerdo </w:t>
      </w:r>
      <w:r w:rsidRPr="00522539">
        <w:rPr>
          <w:rFonts w:ascii="Gotham Rounded Book" w:hAnsi="Gotham Rounded Book"/>
          <w:sz w:val="22"/>
          <w:szCs w:val="22"/>
        </w:rPr>
        <w:t>1254/SE/11-05/2020, del 11 de mayo de 2020</w:t>
      </w:r>
      <w:r>
        <w:rPr>
          <w:rFonts w:ascii="Gotham Rounded Book" w:hAnsi="Gotham Rounded Book"/>
          <w:sz w:val="22"/>
          <w:szCs w:val="22"/>
        </w:rPr>
        <w:t>, la Afectación Externa núm. 2, en la que se redujo el Presupuesto de Egresos del Ejercicio F</w:t>
      </w:r>
      <w:r w:rsidRPr="00522539">
        <w:rPr>
          <w:rFonts w:ascii="Gotham Rounded Book" w:hAnsi="Gotham Rounded Book"/>
          <w:sz w:val="22"/>
          <w:szCs w:val="22"/>
        </w:rPr>
        <w:t xml:space="preserve">iscal 2020, </w:t>
      </w:r>
      <w:r>
        <w:rPr>
          <w:rFonts w:ascii="Gotham Rounded Book" w:hAnsi="Gotham Rounded Book"/>
          <w:sz w:val="22"/>
          <w:szCs w:val="22"/>
        </w:rPr>
        <w:t xml:space="preserve">en </w:t>
      </w:r>
      <w:r w:rsidRPr="00522539">
        <w:rPr>
          <w:rFonts w:ascii="Gotham Rounded Book" w:hAnsi="Gotham Rounded Book"/>
          <w:sz w:val="22"/>
          <w:szCs w:val="22"/>
        </w:rPr>
        <w:t>21,342,000.00 pesos, con motivo de la eme</w:t>
      </w:r>
      <w:r>
        <w:rPr>
          <w:rFonts w:ascii="Gotham Rounded Book" w:hAnsi="Gotham Rounded Book"/>
          <w:sz w:val="22"/>
          <w:szCs w:val="22"/>
        </w:rPr>
        <w:t>rgencia sanitaria derivada del C</w:t>
      </w:r>
      <w:r w:rsidRPr="00522539">
        <w:rPr>
          <w:rFonts w:ascii="Gotham Rounded Book" w:hAnsi="Gotham Rounded Book"/>
          <w:sz w:val="22"/>
          <w:szCs w:val="22"/>
        </w:rPr>
        <w:t xml:space="preserve">ovid-19, con la finalidad de que las autoridades competentes orienten los recursos a las acciones y programas que determinen en aras de contrarrestar las consecuencias negativas que han derivado de la emergencia sanitaria, y con ello, disminuir las consecuencias </w:t>
      </w:r>
      <w:r>
        <w:rPr>
          <w:rFonts w:ascii="Gotham Rounded Book" w:hAnsi="Gotham Rounded Book"/>
          <w:sz w:val="22"/>
          <w:szCs w:val="22"/>
        </w:rPr>
        <w:t>del contagio y propagación del C</w:t>
      </w:r>
      <w:r w:rsidRPr="00522539">
        <w:rPr>
          <w:rFonts w:ascii="Gotham Rounded Book" w:hAnsi="Gotham Rounded Book"/>
          <w:sz w:val="22"/>
          <w:szCs w:val="22"/>
        </w:rPr>
        <w:t>ovid-19.</w:t>
      </w:r>
      <w:r>
        <w:rPr>
          <w:rFonts w:ascii="Gotham Rounded Book" w:hAnsi="Gotham Rounded Book"/>
          <w:sz w:val="22"/>
          <w:szCs w:val="22"/>
        </w:rPr>
        <w:t xml:space="preserve"> El presupuesto modificado del ejercicio 2020 del Instituto es por </w:t>
      </w:r>
      <w:r w:rsidRPr="00A41F9F">
        <w:rPr>
          <w:rFonts w:ascii="Gotham Rounded Book" w:hAnsi="Gotham Rounded Book"/>
          <w:sz w:val="22"/>
          <w:szCs w:val="22"/>
        </w:rPr>
        <w:t>162</w:t>
      </w:r>
      <w:proofErr w:type="gramStart"/>
      <w:r w:rsidRPr="00A41F9F">
        <w:rPr>
          <w:rFonts w:ascii="Gotham Rounded Book" w:hAnsi="Gotham Rounded Book"/>
          <w:sz w:val="22"/>
          <w:szCs w:val="22"/>
        </w:rPr>
        <w:t>,106,360.00</w:t>
      </w:r>
      <w:proofErr w:type="gramEnd"/>
      <w:r>
        <w:rPr>
          <w:rFonts w:ascii="Gotham Rounded Book" w:hAnsi="Gotham Rounded Book"/>
          <w:sz w:val="22"/>
          <w:szCs w:val="22"/>
        </w:rPr>
        <w:t xml:space="preserve"> pesos.</w:t>
      </w:r>
    </w:p>
    <w:p w14:paraId="40BD20F5" w14:textId="77777777" w:rsidR="00074CE9" w:rsidRDefault="00074CE9" w:rsidP="00A41F9F">
      <w:pPr>
        <w:pStyle w:val="Texto"/>
        <w:autoSpaceDE w:val="0"/>
        <w:autoSpaceDN w:val="0"/>
        <w:adjustRightInd w:val="0"/>
        <w:spacing w:after="0" w:line="276" w:lineRule="auto"/>
        <w:ind w:left="0" w:firstLine="0"/>
        <w:rPr>
          <w:rFonts w:ascii="Gotham Rounded Book" w:hAnsi="Gotham Rounded Book"/>
          <w:sz w:val="22"/>
          <w:szCs w:val="22"/>
        </w:rPr>
      </w:pPr>
    </w:p>
    <w:p w14:paraId="7604D2E4" w14:textId="1BD5799F" w:rsidR="00074CE9" w:rsidRDefault="00074CE9" w:rsidP="00074CE9">
      <w:pPr>
        <w:ind w:left="0" w:firstLine="0"/>
        <w:rPr>
          <w:rFonts w:ascii="Gotham Rounded Book" w:hAnsi="Gotham Rounded Book"/>
        </w:rPr>
      </w:pPr>
      <w:r>
        <w:rPr>
          <w:rFonts w:ascii="Gotham Rounded Book" w:hAnsi="Gotham Rounded Book"/>
        </w:rPr>
        <w:t>El Pleno del Instituto de Transparencia, Acceso a la Información Pública, Protección de Datos Personales y Rendición de Cuentas de la Ciudad de México, aprobó mediante Acuerdo 1284/SO/15-09/2020 del 15 de septiembre de 2020, la Afectación Externa núm. 12, que corresponde a la ampliación líquida de recursos presupuestales por un monto de $200,000.00, los</w:t>
      </w:r>
      <w:r w:rsidRPr="00074CE9">
        <w:rPr>
          <w:rFonts w:ascii="Gotham Rounded Book" w:hAnsi="Gotham Rounded Book"/>
        </w:rPr>
        <w:t xml:space="preserve"> recursos provienen de </w:t>
      </w:r>
      <w:r>
        <w:rPr>
          <w:rFonts w:ascii="Gotham Rounded Book" w:hAnsi="Gotham Rounded Book"/>
        </w:rPr>
        <w:t xml:space="preserve">los </w:t>
      </w:r>
      <w:r w:rsidRPr="00074CE9">
        <w:rPr>
          <w:rFonts w:ascii="Gotham Rounded Book" w:hAnsi="Gotham Rounded Book"/>
        </w:rPr>
        <w:t xml:space="preserve">rendimientos financieros generados de febrero a </w:t>
      </w:r>
      <w:r w:rsidR="00EA7A27">
        <w:rPr>
          <w:rFonts w:ascii="Gotham Rounded Book" w:hAnsi="Gotham Rounded Book"/>
        </w:rPr>
        <w:t xml:space="preserve">abril y una parte del mes de </w:t>
      </w:r>
      <w:r w:rsidRPr="00074CE9">
        <w:rPr>
          <w:rFonts w:ascii="Gotham Rounded Book" w:hAnsi="Gotham Rounded Book"/>
        </w:rPr>
        <w:t>mayo</w:t>
      </w:r>
      <w:r w:rsidR="00EA7A27">
        <w:rPr>
          <w:rFonts w:ascii="Gotham Rounded Book" w:hAnsi="Gotham Rounded Book"/>
        </w:rPr>
        <w:t>,</w:t>
      </w:r>
      <w:r w:rsidRPr="00074CE9">
        <w:rPr>
          <w:rFonts w:ascii="Gotham Rounded Book" w:hAnsi="Gotham Rounded Book"/>
        </w:rPr>
        <w:t xml:space="preserve"> derivados de la cuenta de inversión con Número de contrato 205</w:t>
      </w:r>
      <w:r>
        <w:rPr>
          <w:rFonts w:ascii="Gotham Rounded Book" w:hAnsi="Gotham Rounded Book"/>
        </w:rPr>
        <w:t>0834165, en BBVA, Bancomer S.A. Los recursos d</w:t>
      </w:r>
      <w:r w:rsidRPr="00074CE9">
        <w:rPr>
          <w:rFonts w:ascii="Gotham Rounded Book" w:hAnsi="Gotham Rounded Book"/>
        </w:rPr>
        <w:t>an suficiencia presupuestal a la partida 5111 “Muebles de estantería y oficina”, con la finalidad de que el Instituto se encuentre en posibilidad de adquirir mobiliario</w:t>
      </w:r>
      <w:r>
        <w:rPr>
          <w:rFonts w:ascii="Gotham Rounded Book" w:hAnsi="Gotham Rounded Book"/>
        </w:rPr>
        <w:t xml:space="preserve"> derivado de la obsolescencia y/</w:t>
      </w:r>
      <w:r w:rsidRPr="00074CE9">
        <w:rPr>
          <w:rFonts w:ascii="Gotham Rounded Book" w:hAnsi="Gotham Rounded Book"/>
        </w:rPr>
        <w:t>o desgaste que tienen diversos bienes muebles</w:t>
      </w:r>
      <w:r>
        <w:rPr>
          <w:rFonts w:ascii="Gotham Rounded Book" w:hAnsi="Gotham Rounded Book"/>
        </w:rPr>
        <w:t>.</w:t>
      </w:r>
      <w:r w:rsidR="0053529A">
        <w:rPr>
          <w:rFonts w:ascii="Gotham Rounded Book" w:hAnsi="Gotham Rounded Book"/>
        </w:rPr>
        <w:t xml:space="preserve"> Los ingresos se reflejan en el Estado Analítico de Ingresos Presupuestarios como </w:t>
      </w:r>
      <w:r w:rsidR="0053529A" w:rsidRPr="0053529A">
        <w:rPr>
          <w:rFonts w:ascii="Gotham Rounded Book" w:hAnsi="Gotham Rounded Book"/>
        </w:rPr>
        <w:t>Ingresos por Venta de Bienes y Servicios</w:t>
      </w:r>
      <w:r w:rsidR="0053529A">
        <w:rPr>
          <w:rFonts w:ascii="Gotham Rounded Book" w:hAnsi="Gotham Rounded Book"/>
        </w:rPr>
        <w:t>.</w:t>
      </w:r>
    </w:p>
    <w:p w14:paraId="6625D89B" w14:textId="77777777" w:rsidR="00815AEC" w:rsidRDefault="00815AEC" w:rsidP="00074CE9">
      <w:pPr>
        <w:ind w:left="0" w:firstLine="0"/>
        <w:rPr>
          <w:rFonts w:ascii="Gotham Rounded Book" w:hAnsi="Gotham Rounded Book"/>
        </w:rPr>
      </w:pPr>
    </w:p>
    <w:p w14:paraId="54F38D7F" w14:textId="77777777" w:rsidR="00815AEC" w:rsidRDefault="00815AEC" w:rsidP="00074CE9">
      <w:pPr>
        <w:ind w:left="0" w:firstLine="0"/>
        <w:rPr>
          <w:rFonts w:ascii="Gotham Rounded Book" w:hAnsi="Gotham Rounded Book"/>
        </w:rPr>
      </w:pPr>
    </w:p>
    <w:p w14:paraId="1E881D27" w14:textId="77777777" w:rsidR="00815AEC" w:rsidRDefault="00815AEC" w:rsidP="00074CE9">
      <w:pPr>
        <w:ind w:left="0" w:firstLine="0"/>
        <w:rPr>
          <w:rFonts w:ascii="Gotham Rounded Book" w:hAnsi="Gotham Rounded Book"/>
        </w:rPr>
      </w:pPr>
    </w:p>
    <w:tbl>
      <w:tblPr>
        <w:tblStyle w:val="Tablaconcuadrcula"/>
        <w:tblW w:w="0" w:type="auto"/>
        <w:jc w:val="center"/>
        <w:tblLook w:val="04A0" w:firstRow="1" w:lastRow="0" w:firstColumn="1" w:lastColumn="0" w:noHBand="0" w:noVBand="1"/>
      </w:tblPr>
      <w:tblGrid>
        <w:gridCol w:w="1488"/>
        <w:gridCol w:w="2446"/>
      </w:tblGrid>
      <w:tr w:rsidR="00DB53E5" w14:paraId="5E49229F" w14:textId="77777777" w:rsidTr="00EA7A27">
        <w:trPr>
          <w:jc w:val="center"/>
        </w:trPr>
        <w:tc>
          <w:tcPr>
            <w:tcW w:w="1488" w:type="dxa"/>
          </w:tcPr>
          <w:p w14:paraId="6FFF1DF9" w14:textId="2512FBB5" w:rsidR="00DB53E5" w:rsidRPr="00DB53E5" w:rsidRDefault="00DB53E5" w:rsidP="00DB53E5">
            <w:pPr>
              <w:spacing w:after="0" w:line="240" w:lineRule="auto"/>
              <w:ind w:left="0" w:firstLine="0"/>
              <w:jc w:val="center"/>
              <w:rPr>
                <w:rFonts w:ascii="Gotham Rounded Book" w:hAnsi="Gotham Rounded Book"/>
                <w:b/>
              </w:rPr>
            </w:pPr>
            <w:r w:rsidRPr="00DB53E5">
              <w:rPr>
                <w:rFonts w:ascii="Gotham Rounded Book" w:hAnsi="Gotham Rounded Book"/>
                <w:b/>
              </w:rPr>
              <w:lastRenderedPageBreak/>
              <w:t>Mes</w:t>
            </w:r>
          </w:p>
        </w:tc>
        <w:tc>
          <w:tcPr>
            <w:tcW w:w="2446" w:type="dxa"/>
          </w:tcPr>
          <w:p w14:paraId="73EE6BE3" w14:textId="77777777" w:rsidR="00DB53E5" w:rsidRPr="00557000" w:rsidRDefault="00DB53E5" w:rsidP="00DB53E5">
            <w:pPr>
              <w:spacing w:after="0" w:line="240" w:lineRule="auto"/>
              <w:ind w:left="0" w:firstLine="0"/>
              <w:jc w:val="center"/>
              <w:rPr>
                <w:rFonts w:ascii="Gotham Rounded Book" w:hAnsi="Gotham Rounded Book"/>
              </w:rPr>
            </w:pPr>
            <w:r w:rsidRPr="00557000">
              <w:rPr>
                <w:rFonts w:ascii="Gotham Rounded Book" w:hAnsi="Gotham Rounded Book"/>
              </w:rPr>
              <w:t>Rendimientos financieros</w:t>
            </w:r>
          </w:p>
          <w:p w14:paraId="292DD4CA" w14:textId="356C1DFD" w:rsidR="00DB53E5" w:rsidRPr="00557000" w:rsidRDefault="00DB53E5" w:rsidP="00DB53E5">
            <w:pPr>
              <w:spacing w:after="0" w:line="240" w:lineRule="auto"/>
              <w:ind w:left="0" w:firstLine="0"/>
              <w:jc w:val="center"/>
              <w:rPr>
                <w:rFonts w:ascii="Gotham Rounded Book" w:hAnsi="Gotham Rounded Book"/>
              </w:rPr>
            </w:pPr>
            <w:r w:rsidRPr="00557000">
              <w:rPr>
                <w:rFonts w:ascii="Gotham Rounded Book" w:hAnsi="Gotham Rounded Book"/>
              </w:rPr>
              <w:t>(pesos)</w:t>
            </w:r>
          </w:p>
        </w:tc>
      </w:tr>
      <w:tr w:rsidR="00EA7A27" w14:paraId="6AB7F217" w14:textId="77777777" w:rsidTr="00EA7A27">
        <w:trPr>
          <w:jc w:val="center"/>
        </w:trPr>
        <w:tc>
          <w:tcPr>
            <w:tcW w:w="1488" w:type="dxa"/>
          </w:tcPr>
          <w:p w14:paraId="36C2146A" w14:textId="4E9BA322" w:rsidR="00EA7A27" w:rsidRDefault="00EA7A27" w:rsidP="00DB53E5">
            <w:pPr>
              <w:spacing w:after="0" w:line="240" w:lineRule="auto"/>
              <w:ind w:left="0" w:firstLine="0"/>
              <w:rPr>
                <w:rFonts w:ascii="Gotham Rounded Book" w:hAnsi="Gotham Rounded Book"/>
              </w:rPr>
            </w:pPr>
            <w:r>
              <w:rPr>
                <w:rFonts w:ascii="Gotham Rounded Book" w:hAnsi="Gotham Rounded Book"/>
              </w:rPr>
              <w:t>Febrero</w:t>
            </w:r>
          </w:p>
        </w:tc>
        <w:tc>
          <w:tcPr>
            <w:tcW w:w="2446" w:type="dxa"/>
          </w:tcPr>
          <w:p w14:paraId="4E95FA80" w14:textId="00992E33" w:rsidR="00EA7A27"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10,409.35</w:t>
            </w:r>
          </w:p>
        </w:tc>
      </w:tr>
      <w:tr w:rsidR="00EA7A27" w14:paraId="762E2513" w14:textId="77777777" w:rsidTr="00EA7A27">
        <w:trPr>
          <w:jc w:val="center"/>
        </w:trPr>
        <w:tc>
          <w:tcPr>
            <w:tcW w:w="1488" w:type="dxa"/>
          </w:tcPr>
          <w:p w14:paraId="444615FA" w14:textId="3F4FEE3F" w:rsidR="00EA7A27" w:rsidRDefault="00EA7A27" w:rsidP="00DB53E5">
            <w:pPr>
              <w:spacing w:after="0" w:line="240" w:lineRule="auto"/>
              <w:ind w:left="0" w:firstLine="0"/>
              <w:rPr>
                <w:rFonts w:ascii="Gotham Rounded Book" w:hAnsi="Gotham Rounded Book"/>
              </w:rPr>
            </w:pPr>
            <w:r>
              <w:rPr>
                <w:rFonts w:ascii="Gotham Rounded Book" w:hAnsi="Gotham Rounded Book"/>
              </w:rPr>
              <w:t>Marzo</w:t>
            </w:r>
          </w:p>
        </w:tc>
        <w:tc>
          <w:tcPr>
            <w:tcW w:w="2446" w:type="dxa"/>
          </w:tcPr>
          <w:p w14:paraId="4FC5E6A5" w14:textId="0F8E0191" w:rsidR="00EA7A27"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92,397.15</w:t>
            </w:r>
          </w:p>
        </w:tc>
      </w:tr>
      <w:tr w:rsidR="00EA7A27" w14:paraId="19EA5323" w14:textId="77777777" w:rsidTr="00EA7A27">
        <w:trPr>
          <w:jc w:val="center"/>
        </w:trPr>
        <w:tc>
          <w:tcPr>
            <w:tcW w:w="1488" w:type="dxa"/>
          </w:tcPr>
          <w:p w14:paraId="5CFC3B86" w14:textId="5ED2E977" w:rsidR="00EA7A27" w:rsidRDefault="00EA7A27" w:rsidP="00DB53E5">
            <w:pPr>
              <w:spacing w:after="0" w:line="240" w:lineRule="auto"/>
              <w:ind w:left="0" w:firstLine="0"/>
              <w:rPr>
                <w:rFonts w:ascii="Gotham Rounded Book" w:hAnsi="Gotham Rounded Book"/>
              </w:rPr>
            </w:pPr>
            <w:r>
              <w:rPr>
                <w:rFonts w:ascii="Gotham Rounded Book" w:hAnsi="Gotham Rounded Book"/>
              </w:rPr>
              <w:t>Abril</w:t>
            </w:r>
          </w:p>
        </w:tc>
        <w:tc>
          <w:tcPr>
            <w:tcW w:w="2446" w:type="dxa"/>
          </w:tcPr>
          <w:p w14:paraId="53846A2E" w14:textId="55DEE381" w:rsidR="00EA7A27"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78,074.26</w:t>
            </w:r>
          </w:p>
        </w:tc>
      </w:tr>
      <w:tr w:rsidR="00DB53E5" w14:paraId="56C280E7" w14:textId="77777777" w:rsidTr="00EA7A27">
        <w:trPr>
          <w:jc w:val="center"/>
        </w:trPr>
        <w:tc>
          <w:tcPr>
            <w:tcW w:w="1488" w:type="dxa"/>
          </w:tcPr>
          <w:p w14:paraId="32881457" w14:textId="3D90A76D" w:rsidR="00DB53E5" w:rsidRDefault="00DB53E5" w:rsidP="00DB53E5">
            <w:pPr>
              <w:spacing w:after="0" w:line="240" w:lineRule="auto"/>
              <w:ind w:left="0" w:firstLine="0"/>
              <w:rPr>
                <w:rFonts w:ascii="Gotham Rounded Book" w:hAnsi="Gotham Rounded Book"/>
              </w:rPr>
            </w:pPr>
            <w:r>
              <w:rPr>
                <w:rFonts w:ascii="Gotham Rounded Book" w:hAnsi="Gotham Rounded Book"/>
              </w:rPr>
              <w:t>Mayo</w:t>
            </w:r>
          </w:p>
        </w:tc>
        <w:tc>
          <w:tcPr>
            <w:tcW w:w="2446" w:type="dxa"/>
          </w:tcPr>
          <w:p w14:paraId="29810C52" w14:textId="32B9E5A8" w:rsidR="00DB53E5" w:rsidRPr="00557000" w:rsidRDefault="00EA7A27" w:rsidP="00EA7A27">
            <w:pPr>
              <w:spacing w:after="0" w:line="240" w:lineRule="auto"/>
              <w:ind w:left="0" w:right="582" w:firstLine="0"/>
              <w:jc w:val="right"/>
              <w:rPr>
                <w:rFonts w:ascii="Gotham Rounded Book" w:hAnsi="Gotham Rounded Book"/>
              </w:rPr>
            </w:pPr>
            <w:r w:rsidRPr="00557000">
              <w:rPr>
                <w:rFonts w:ascii="Gotham Rounded Book" w:hAnsi="Gotham Rounded Book"/>
              </w:rPr>
              <w:t>19,119.24</w:t>
            </w:r>
          </w:p>
        </w:tc>
      </w:tr>
      <w:tr w:rsidR="00EA7A27" w14:paraId="251A8B8A" w14:textId="77777777" w:rsidTr="00EA7A27">
        <w:trPr>
          <w:jc w:val="center"/>
        </w:trPr>
        <w:tc>
          <w:tcPr>
            <w:tcW w:w="1488" w:type="dxa"/>
          </w:tcPr>
          <w:p w14:paraId="374962FA" w14:textId="5BBE7FB8" w:rsidR="00EA7A27" w:rsidRDefault="00EA7A27" w:rsidP="00DB53E5">
            <w:pPr>
              <w:spacing w:after="0" w:line="240" w:lineRule="auto"/>
              <w:ind w:left="0" w:firstLine="0"/>
              <w:rPr>
                <w:rFonts w:ascii="Gotham Rounded Book" w:hAnsi="Gotham Rounded Book"/>
              </w:rPr>
            </w:pPr>
            <w:r>
              <w:rPr>
                <w:rFonts w:ascii="Gotham Rounded Book" w:hAnsi="Gotham Rounded Book"/>
              </w:rPr>
              <w:t>Total</w:t>
            </w:r>
          </w:p>
        </w:tc>
        <w:tc>
          <w:tcPr>
            <w:tcW w:w="2446" w:type="dxa"/>
          </w:tcPr>
          <w:p w14:paraId="1566D588" w14:textId="140717F5" w:rsidR="00EA7A27" w:rsidRPr="00EA7A27" w:rsidRDefault="00EA7A27" w:rsidP="00EA7A27">
            <w:pPr>
              <w:spacing w:after="0" w:line="240" w:lineRule="auto"/>
              <w:ind w:left="0" w:right="582" w:firstLine="0"/>
              <w:jc w:val="right"/>
              <w:rPr>
                <w:rFonts w:ascii="Gotham Rounded Book" w:hAnsi="Gotham Rounded Book"/>
              </w:rPr>
            </w:pPr>
            <w:r>
              <w:rPr>
                <w:rFonts w:ascii="Gotham Rounded Book" w:hAnsi="Gotham Rounded Book"/>
              </w:rPr>
              <w:t>200,000.00</w:t>
            </w:r>
          </w:p>
        </w:tc>
      </w:tr>
    </w:tbl>
    <w:p w14:paraId="409F1545" w14:textId="77777777" w:rsidR="00074CE9" w:rsidRDefault="00074CE9" w:rsidP="00074CE9">
      <w:pPr>
        <w:ind w:left="0" w:firstLine="0"/>
        <w:rPr>
          <w:rFonts w:ascii="Gotham Rounded Book" w:hAnsi="Gotham Rounded Book"/>
        </w:rPr>
      </w:pPr>
    </w:p>
    <w:p w14:paraId="7182A2B4" w14:textId="30DE51A8" w:rsidR="00ED32C8" w:rsidRDefault="00ED32C8" w:rsidP="00735F7E">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Con fecha 19 de noviembre de 2020, el Instituto de Transparencia, Acceso a la Información Pública, Protección de Datos Personales y Rendición de Cuentas de la Ciudad de México, realizó un reintegro a la Secretaría de Administración y Finanzas, por la cantidad, $526,545.39, por los conceptos que se citan a continuación:</w:t>
      </w:r>
    </w:p>
    <w:p w14:paraId="5BEF7871" w14:textId="77777777" w:rsidR="00ED32C8" w:rsidRDefault="00ED32C8" w:rsidP="00735F7E">
      <w:pPr>
        <w:pStyle w:val="Textoindependiente22"/>
        <w:rPr>
          <w:rFonts w:ascii="Gotham Rounded Book" w:eastAsia="Calibri" w:hAnsi="Gotham Rounded Book"/>
          <w:sz w:val="22"/>
          <w:szCs w:val="22"/>
          <w:lang w:val="es-MX" w:eastAsia="en-US"/>
        </w:rPr>
      </w:pPr>
    </w:p>
    <w:p w14:paraId="0CEC5BCC" w14:textId="4CD5BA0E" w:rsidR="00ED32C8" w:rsidRDefault="00ED32C8" w:rsidP="00ED32C8">
      <w:pPr>
        <w:pStyle w:val="Textoindependiente22"/>
        <w:numPr>
          <w:ilvl w:val="0"/>
          <w:numId w:val="18"/>
        </w:numPr>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Venta de bases de Licitación Pública:</w:t>
      </w:r>
      <w:r>
        <w:rPr>
          <w:rFonts w:ascii="Gotham Rounded Book" w:eastAsia="Calibri" w:hAnsi="Gotham Rounded Book"/>
          <w:sz w:val="22"/>
          <w:szCs w:val="22"/>
          <w:lang w:val="es-MX" w:eastAsia="en-US"/>
        </w:rPr>
        <w:tab/>
        <w:t xml:space="preserve">    </w:t>
      </w:r>
      <w:r w:rsidR="00986364">
        <w:rPr>
          <w:rFonts w:ascii="Gotham Rounded Book" w:eastAsia="Calibri" w:hAnsi="Gotham Rounded Book"/>
          <w:sz w:val="22"/>
          <w:szCs w:val="22"/>
          <w:lang w:val="es-MX" w:eastAsia="en-US"/>
        </w:rPr>
        <w:t xml:space="preserve"> $</w:t>
      </w:r>
      <w:r>
        <w:rPr>
          <w:rFonts w:ascii="Gotham Rounded Book" w:eastAsia="Calibri" w:hAnsi="Gotham Rounded Book"/>
          <w:sz w:val="22"/>
          <w:szCs w:val="22"/>
          <w:lang w:val="es-MX" w:eastAsia="en-US"/>
        </w:rPr>
        <w:t>7,500.00</w:t>
      </w:r>
    </w:p>
    <w:p w14:paraId="0814A61A" w14:textId="5AC37C10" w:rsidR="00ED32C8" w:rsidRDefault="00ED32C8" w:rsidP="00ED32C8">
      <w:pPr>
        <w:pStyle w:val="Textoindependiente22"/>
        <w:numPr>
          <w:ilvl w:val="0"/>
          <w:numId w:val="18"/>
        </w:numPr>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Rendimientos financieros:</w:t>
      </w:r>
      <w:r>
        <w:rPr>
          <w:rFonts w:ascii="Gotham Rounded Book" w:eastAsia="Calibri" w:hAnsi="Gotham Rounded Book"/>
          <w:sz w:val="22"/>
          <w:szCs w:val="22"/>
          <w:lang w:val="es-MX" w:eastAsia="en-US"/>
        </w:rPr>
        <w:tab/>
      </w:r>
      <w:r>
        <w:rPr>
          <w:rFonts w:ascii="Gotham Rounded Book" w:eastAsia="Calibri" w:hAnsi="Gotham Rounded Book"/>
          <w:sz w:val="22"/>
          <w:szCs w:val="22"/>
          <w:lang w:val="es-MX" w:eastAsia="en-US"/>
        </w:rPr>
        <w:tab/>
      </w:r>
      <w:r>
        <w:rPr>
          <w:rFonts w:ascii="Gotham Rounded Book" w:eastAsia="Calibri" w:hAnsi="Gotham Rounded Book"/>
          <w:sz w:val="22"/>
          <w:szCs w:val="22"/>
          <w:lang w:val="es-MX" w:eastAsia="en-US"/>
        </w:rPr>
        <w:tab/>
        <w:t xml:space="preserve"> </w:t>
      </w:r>
      <w:r w:rsidR="00986364">
        <w:rPr>
          <w:rFonts w:ascii="Gotham Rounded Book" w:eastAsia="Calibri" w:hAnsi="Gotham Rounded Book"/>
          <w:sz w:val="22"/>
          <w:szCs w:val="22"/>
          <w:lang w:val="es-MX" w:eastAsia="en-US"/>
        </w:rPr>
        <w:t>$</w:t>
      </w:r>
      <w:r>
        <w:rPr>
          <w:rFonts w:ascii="Gotham Rounded Book" w:eastAsia="Calibri" w:hAnsi="Gotham Rounded Book"/>
          <w:sz w:val="22"/>
          <w:szCs w:val="22"/>
          <w:lang w:val="es-MX" w:eastAsia="en-US"/>
        </w:rPr>
        <w:t>469,427.39</w:t>
      </w:r>
    </w:p>
    <w:p w14:paraId="3BA8D791" w14:textId="77777777" w:rsidR="00ED32C8" w:rsidRPr="00056316" w:rsidRDefault="00ED32C8" w:rsidP="00056316">
      <w:pPr>
        <w:pStyle w:val="Textoindependiente22"/>
        <w:jc w:val="center"/>
        <w:rPr>
          <w:rFonts w:ascii="Gotham Rounded Book" w:eastAsia="Calibri" w:hAnsi="Gotham Rounded Book"/>
          <w:b/>
          <w:sz w:val="22"/>
          <w:szCs w:val="22"/>
          <w:lang w:val="es-MX" w:eastAsia="en-US"/>
        </w:rPr>
      </w:pPr>
    </w:p>
    <w:tbl>
      <w:tblPr>
        <w:tblStyle w:val="Tablaconcuadrcula"/>
        <w:tblW w:w="0" w:type="auto"/>
        <w:tblInd w:w="1951" w:type="dxa"/>
        <w:tblLook w:val="04A0" w:firstRow="1" w:lastRow="0" w:firstColumn="1" w:lastColumn="0" w:noHBand="0" w:noVBand="1"/>
      </w:tblPr>
      <w:tblGrid>
        <w:gridCol w:w="1843"/>
        <w:gridCol w:w="1984"/>
      </w:tblGrid>
      <w:tr w:rsidR="00056316" w:rsidRPr="00056316" w14:paraId="3830F002" w14:textId="77777777" w:rsidTr="00056316">
        <w:tc>
          <w:tcPr>
            <w:tcW w:w="1843" w:type="dxa"/>
          </w:tcPr>
          <w:p w14:paraId="11F34B4D" w14:textId="260B5AE3" w:rsidR="00056316" w:rsidRPr="00EF74D0" w:rsidRDefault="00056316" w:rsidP="00056316">
            <w:pPr>
              <w:pStyle w:val="Textoindependiente22"/>
              <w:jc w:val="center"/>
              <w:rPr>
                <w:rFonts w:ascii="Gotham Rounded Book" w:eastAsia="Calibri" w:hAnsi="Gotham Rounded Book"/>
                <w:b/>
                <w:sz w:val="20"/>
                <w:lang w:val="es-MX" w:eastAsia="en-US"/>
              </w:rPr>
            </w:pPr>
            <w:r w:rsidRPr="00EF74D0">
              <w:rPr>
                <w:rFonts w:ascii="Gotham Rounded Book" w:eastAsia="Calibri" w:hAnsi="Gotham Rounded Book"/>
                <w:b/>
                <w:sz w:val="20"/>
                <w:lang w:val="es-MX" w:eastAsia="en-US"/>
              </w:rPr>
              <w:t>Mes</w:t>
            </w:r>
          </w:p>
        </w:tc>
        <w:tc>
          <w:tcPr>
            <w:tcW w:w="1984" w:type="dxa"/>
          </w:tcPr>
          <w:p w14:paraId="3D9C81EB" w14:textId="547AA882" w:rsidR="00056316" w:rsidRPr="00EF74D0" w:rsidRDefault="00056316" w:rsidP="00056316">
            <w:pPr>
              <w:pStyle w:val="Textoindependiente22"/>
              <w:jc w:val="center"/>
              <w:rPr>
                <w:rFonts w:ascii="Gotham Rounded Book" w:eastAsia="Calibri" w:hAnsi="Gotham Rounded Book"/>
                <w:b/>
                <w:sz w:val="20"/>
                <w:lang w:val="es-MX" w:eastAsia="en-US"/>
              </w:rPr>
            </w:pPr>
            <w:r w:rsidRPr="00EF74D0">
              <w:rPr>
                <w:rFonts w:ascii="Gotham Rounded Book" w:eastAsia="Calibri" w:hAnsi="Gotham Rounded Book"/>
                <w:b/>
                <w:sz w:val="20"/>
                <w:lang w:val="es-MX" w:eastAsia="en-US"/>
              </w:rPr>
              <w:t>Importe</w:t>
            </w:r>
          </w:p>
        </w:tc>
      </w:tr>
      <w:tr w:rsidR="00056316" w14:paraId="56E59785" w14:textId="77777777" w:rsidTr="00056316">
        <w:tc>
          <w:tcPr>
            <w:tcW w:w="1843" w:type="dxa"/>
          </w:tcPr>
          <w:p w14:paraId="48745C2F" w14:textId="009F7725" w:rsidR="00056316" w:rsidRPr="00EF74D0" w:rsidRDefault="00056316" w:rsidP="00735F7E">
            <w:pPr>
              <w:pStyle w:val="Textoindependiente22"/>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mayo</w:t>
            </w:r>
          </w:p>
        </w:tc>
        <w:tc>
          <w:tcPr>
            <w:tcW w:w="1984" w:type="dxa"/>
          </w:tcPr>
          <w:p w14:paraId="330160A6" w14:textId="3F6D3371" w:rsidR="00056316" w:rsidRPr="00EF74D0" w:rsidRDefault="005403A5" w:rsidP="005403A5">
            <w:pPr>
              <w:pStyle w:val="Textoindependiente22"/>
              <w:ind w:right="317"/>
              <w:jc w:val="right"/>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69,279.68</w:t>
            </w:r>
          </w:p>
        </w:tc>
      </w:tr>
      <w:tr w:rsidR="00056316" w14:paraId="3E262F3A" w14:textId="77777777" w:rsidTr="00056316">
        <w:tc>
          <w:tcPr>
            <w:tcW w:w="1843" w:type="dxa"/>
          </w:tcPr>
          <w:p w14:paraId="40F2B3A4" w14:textId="00AA79D9" w:rsidR="00056316" w:rsidRPr="00EF74D0" w:rsidRDefault="00056316" w:rsidP="00735F7E">
            <w:pPr>
              <w:pStyle w:val="Textoindependiente22"/>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junio</w:t>
            </w:r>
          </w:p>
        </w:tc>
        <w:tc>
          <w:tcPr>
            <w:tcW w:w="1984" w:type="dxa"/>
          </w:tcPr>
          <w:p w14:paraId="39E26AC1" w14:textId="643784D4" w:rsidR="00056316" w:rsidRPr="00EF74D0" w:rsidRDefault="005403A5" w:rsidP="005403A5">
            <w:pPr>
              <w:pStyle w:val="Textoindependiente22"/>
              <w:ind w:right="317"/>
              <w:jc w:val="right"/>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105,653.85</w:t>
            </w:r>
          </w:p>
        </w:tc>
      </w:tr>
      <w:tr w:rsidR="00056316" w14:paraId="72DFE073" w14:textId="77777777" w:rsidTr="00056316">
        <w:tc>
          <w:tcPr>
            <w:tcW w:w="1843" w:type="dxa"/>
          </w:tcPr>
          <w:p w14:paraId="59EE97FD" w14:textId="27111E2D" w:rsidR="00056316" w:rsidRPr="00EF74D0" w:rsidRDefault="00056316" w:rsidP="00735F7E">
            <w:pPr>
              <w:pStyle w:val="Textoindependiente22"/>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julio</w:t>
            </w:r>
          </w:p>
        </w:tc>
        <w:tc>
          <w:tcPr>
            <w:tcW w:w="1984" w:type="dxa"/>
          </w:tcPr>
          <w:p w14:paraId="3149AF89" w14:textId="2E7E9210" w:rsidR="00056316" w:rsidRPr="00EF74D0" w:rsidRDefault="005403A5" w:rsidP="005403A5">
            <w:pPr>
              <w:pStyle w:val="Textoindependiente22"/>
              <w:ind w:right="317"/>
              <w:jc w:val="right"/>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75,656.67</w:t>
            </w:r>
          </w:p>
        </w:tc>
      </w:tr>
      <w:tr w:rsidR="00056316" w14:paraId="010D7BFA" w14:textId="77777777" w:rsidTr="00056316">
        <w:tc>
          <w:tcPr>
            <w:tcW w:w="1843" w:type="dxa"/>
          </w:tcPr>
          <w:p w14:paraId="11B29923" w14:textId="74F46171" w:rsidR="00056316" w:rsidRPr="00EF74D0" w:rsidRDefault="00056316" w:rsidP="00735F7E">
            <w:pPr>
              <w:pStyle w:val="Textoindependiente22"/>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agosto</w:t>
            </w:r>
          </w:p>
        </w:tc>
        <w:tc>
          <w:tcPr>
            <w:tcW w:w="1984" w:type="dxa"/>
          </w:tcPr>
          <w:p w14:paraId="0BA982D9" w14:textId="36EE42D1" w:rsidR="00056316" w:rsidRPr="00EF74D0" w:rsidRDefault="005403A5" w:rsidP="005403A5">
            <w:pPr>
              <w:pStyle w:val="Textoindependiente22"/>
              <w:ind w:right="317"/>
              <w:jc w:val="right"/>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57,108.10</w:t>
            </w:r>
          </w:p>
        </w:tc>
      </w:tr>
      <w:tr w:rsidR="00056316" w14:paraId="714FA4D6" w14:textId="77777777" w:rsidTr="00056316">
        <w:tc>
          <w:tcPr>
            <w:tcW w:w="1843" w:type="dxa"/>
          </w:tcPr>
          <w:p w14:paraId="7D59E1AF" w14:textId="0BC75924" w:rsidR="00056316" w:rsidRPr="00EF74D0" w:rsidRDefault="00056316" w:rsidP="00735F7E">
            <w:pPr>
              <w:pStyle w:val="Textoindependiente22"/>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septiembre</w:t>
            </w:r>
          </w:p>
        </w:tc>
        <w:tc>
          <w:tcPr>
            <w:tcW w:w="1984" w:type="dxa"/>
          </w:tcPr>
          <w:p w14:paraId="7C33FBCB" w14:textId="7EC1CBF3" w:rsidR="00056316" w:rsidRPr="00EF74D0" w:rsidRDefault="005403A5" w:rsidP="005403A5">
            <w:pPr>
              <w:pStyle w:val="Textoindependiente22"/>
              <w:ind w:right="317"/>
              <w:jc w:val="right"/>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74,148.13</w:t>
            </w:r>
          </w:p>
        </w:tc>
      </w:tr>
      <w:tr w:rsidR="00056316" w14:paraId="011CD847" w14:textId="77777777" w:rsidTr="00056316">
        <w:tc>
          <w:tcPr>
            <w:tcW w:w="1843" w:type="dxa"/>
          </w:tcPr>
          <w:p w14:paraId="07FB0EB8" w14:textId="4AA1CD78" w:rsidR="00056316" w:rsidRPr="00EF74D0" w:rsidRDefault="00056316" w:rsidP="00735F7E">
            <w:pPr>
              <w:pStyle w:val="Textoindependiente22"/>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octubre</w:t>
            </w:r>
          </w:p>
        </w:tc>
        <w:tc>
          <w:tcPr>
            <w:tcW w:w="1984" w:type="dxa"/>
          </w:tcPr>
          <w:p w14:paraId="45705294" w14:textId="098C0ABA" w:rsidR="00056316" w:rsidRPr="00EF74D0" w:rsidRDefault="005403A5" w:rsidP="005403A5">
            <w:pPr>
              <w:pStyle w:val="Textoindependiente22"/>
              <w:ind w:right="317"/>
              <w:jc w:val="right"/>
              <w:rPr>
                <w:rFonts w:ascii="Gotham Rounded Book" w:eastAsia="Calibri" w:hAnsi="Gotham Rounded Book"/>
                <w:sz w:val="20"/>
                <w:lang w:val="es-MX" w:eastAsia="en-US"/>
              </w:rPr>
            </w:pPr>
            <w:r w:rsidRPr="00EF74D0">
              <w:rPr>
                <w:rFonts w:ascii="Gotham Rounded Book" w:eastAsia="Calibri" w:hAnsi="Gotham Rounded Book"/>
                <w:sz w:val="20"/>
                <w:lang w:val="es-MX" w:eastAsia="en-US"/>
              </w:rPr>
              <w:t>87,580.96</w:t>
            </w:r>
          </w:p>
        </w:tc>
      </w:tr>
      <w:tr w:rsidR="005403A5" w14:paraId="173C28F4" w14:textId="77777777" w:rsidTr="00056316">
        <w:tc>
          <w:tcPr>
            <w:tcW w:w="1843" w:type="dxa"/>
          </w:tcPr>
          <w:p w14:paraId="4CD55891" w14:textId="0B8594C7" w:rsidR="005403A5" w:rsidRPr="00EF74D0" w:rsidRDefault="005403A5" w:rsidP="00735F7E">
            <w:pPr>
              <w:pStyle w:val="Textoindependiente22"/>
              <w:rPr>
                <w:rFonts w:ascii="Gotham Rounded Book" w:eastAsia="Calibri" w:hAnsi="Gotham Rounded Book"/>
                <w:b/>
                <w:sz w:val="20"/>
                <w:lang w:val="es-MX" w:eastAsia="en-US"/>
              </w:rPr>
            </w:pPr>
            <w:r w:rsidRPr="00EF74D0">
              <w:rPr>
                <w:rFonts w:ascii="Gotham Rounded Book" w:eastAsia="Calibri" w:hAnsi="Gotham Rounded Book"/>
                <w:b/>
                <w:sz w:val="20"/>
                <w:lang w:val="es-MX" w:eastAsia="en-US"/>
              </w:rPr>
              <w:t>Total</w:t>
            </w:r>
          </w:p>
        </w:tc>
        <w:tc>
          <w:tcPr>
            <w:tcW w:w="1984" w:type="dxa"/>
          </w:tcPr>
          <w:p w14:paraId="2FB393DC" w14:textId="59193D96" w:rsidR="005403A5" w:rsidRPr="00EF74D0" w:rsidRDefault="005403A5" w:rsidP="005403A5">
            <w:pPr>
              <w:pStyle w:val="Textoindependiente22"/>
              <w:ind w:right="317"/>
              <w:jc w:val="right"/>
              <w:rPr>
                <w:rFonts w:ascii="Gotham Rounded Book" w:eastAsia="Calibri" w:hAnsi="Gotham Rounded Book"/>
                <w:b/>
                <w:sz w:val="20"/>
                <w:lang w:val="es-MX" w:eastAsia="en-US"/>
              </w:rPr>
            </w:pPr>
            <w:r w:rsidRPr="00EF74D0">
              <w:rPr>
                <w:rFonts w:ascii="Gotham Rounded Book" w:eastAsia="Calibri" w:hAnsi="Gotham Rounded Book"/>
                <w:b/>
                <w:sz w:val="20"/>
                <w:lang w:val="es-MX" w:eastAsia="en-US"/>
              </w:rPr>
              <w:t>469,427.39</w:t>
            </w:r>
          </w:p>
        </w:tc>
      </w:tr>
    </w:tbl>
    <w:p w14:paraId="57629909" w14:textId="77777777" w:rsidR="00ED32C8" w:rsidRDefault="00ED32C8" w:rsidP="00735F7E">
      <w:pPr>
        <w:pStyle w:val="Textoindependiente22"/>
        <w:rPr>
          <w:rFonts w:ascii="Gotham Rounded Book" w:eastAsia="Calibri" w:hAnsi="Gotham Rounded Book"/>
          <w:sz w:val="22"/>
          <w:szCs w:val="22"/>
          <w:lang w:val="es-MX" w:eastAsia="en-US"/>
        </w:rPr>
      </w:pPr>
    </w:p>
    <w:p w14:paraId="7C95D36B" w14:textId="0D12999B" w:rsidR="00ED32C8" w:rsidRDefault="00986364" w:rsidP="00986364">
      <w:pPr>
        <w:pStyle w:val="Textoindependiente22"/>
        <w:numPr>
          <w:ilvl w:val="0"/>
          <w:numId w:val="18"/>
        </w:numPr>
        <w:tabs>
          <w:tab w:val="left" w:pos="3969"/>
        </w:tabs>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Venta de bienes:</w:t>
      </w:r>
      <w:r>
        <w:rPr>
          <w:rFonts w:ascii="Gotham Rounded Book" w:eastAsia="Calibri" w:hAnsi="Gotham Rounded Book"/>
          <w:sz w:val="22"/>
          <w:szCs w:val="22"/>
          <w:lang w:val="es-MX" w:eastAsia="en-US"/>
        </w:rPr>
        <w:tab/>
      </w:r>
      <w:r>
        <w:rPr>
          <w:rFonts w:ascii="Gotham Rounded Book" w:eastAsia="Calibri" w:hAnsi="Gotham Rounded Book"/>
          <w:sz w:val="22"/>
          <w:szCs w:val="22"/>
          <w:lang w:val="es-MX" w:eastAsia="en-US"/>
        </w:rPr>
        <w:tab/>
      </w:r>
      <w:r>
        <w:rPr>
          <w:rFonts w:ascii="Gotham Rounded Book" w:eastAsia="Calibri" w:hAnsi="Gotham Rounded Book"/>
          <w:sz w:val="22"/>
          <w:szCs w:val="22"/>
          <w:lang w:val="es-MX" w:eastAsia="en-US"/>
        </w:rPr>
        <w:tab/>
        <w:t xml:space="preserve">   $49,618.00</w:t>
      </w:r>
    </w:p>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4838FBB7" w:rsidR="00735F7E" w:rsidRDefault="00735F7E" w:rsidP="00735F7E">
      <w:pPr>
        <w:spacing w:after="0" w:line="240" w:lineRule="auto"/>
        <w:ind w:left="0" w:firstLine="0"/>
        <w:rPr>
          <w:rFonts w:ascii="Gotham Rounded Book" w:hAnsi="Gotham Rounded Book"/>
        </w:rPr>
      </w:pPr>
      <w:r w:rsidRPr="00484D6D">
        <w:rPr>
          <w:rFonts w:ascii="Gotham Rounded Book" w:hAnsi="Gotham Rounded Book"/>
        </w:rPr>
        <w:t>Los estados financieros y sus notas fueron autorizados para su emisión el</w:t>
      </w:r>
      <w:r w:rsidR="00DA4E45" w:rsidRPr="00484D6D">
        <w:rPr>
          <w:rFonts w:ascii="Gotham Rounded Book" w:hAnsi="Gotham Rounded Book"/>
        </w:rPr>
        <w:t xml:space="preserve"> </w:t>
      </w:r>
      <w:r w:rsidR="00815AEC">
        <w:rPr>
          <w:rFonts w:ascii="Gotham Rounded Book" w:hAnsi="Gotham Rounded Book"/>
        </w:rPr>
        <w:t>6</w:t>
      </w:r>
      <w:r w:rsidR="000048B7" w:rsidRPr="00484D6D">
        <w:rPr>
          <w:rFonts w:ascii="Gotham Rounded Book" w:hAnsi="Gotham Rounded Book"/>
        </w:rPr>
        <w:t xml:space="preserve"> de </w:t>
      </w:r>
      <w:r w:rsidR="00815AEC">
        <w:rPr>
          <w:rFonts w:ascii="Gotham Rounded Book" w:hAnsi="Gotham Rounded Book"/>
        </w:rPr>
        <w:t xml:space="preserve">enero </w:t>
      </w:r>
      <w:r w:rsidR="00F74368" w:rsidRPr="00484D6D">
        <w:rPr>
          <w:rFonts w:ascii="Gotham Rounded Book" w:hAnsi="Gotham Rounded Book"/>
        </w:rPr>
        <w:t xml:space="preserve">de </w:t>
      </w:r>
      <w:r w:rsidRPr="00484D6D">
        <w:rPr>
          <w:rFonts w:ascii="Gotham Rounded Book" w:hAnsi="Gotham Rounded Book"/>
        </w:rPr>
        <w:t>20</w:t>
      </w:r>
      <w:r w:rsidR="00DA4E45" w:rsidRPr="00484D6D">
        <w:rPr>
          <w:rFonts w:ascii="Gotham Rounded Book" w:hAnsi="Gotham Rounded Book"/>
        </w:rPr>
        <w:t>2</w:t>
      </w:r>
      <w:r w:rsidR="00815AEC">
        <w:rPr>
          <w:rFonts w:ascii="Gotham Rounded Book" w:hAnsi="Gotham Rounded Book"/>
        </w:rPr>
        <w:t>1</w:t>
      </w:r>
      <w:r w:rsidRPr="00484D6D">
        <w:rPr>
          <w:rFonts w:ascii="Gotham Rounded Book" w:hAnsi="Gotham Rounded Book"/>
        </w:rPr>
        <w:t xml:space="preserve"> por los funcionarios del Instituto de </w:t>
      </w:r>
      <w:r w:rsidR="00E37592" w:rsidRPr="00484D6D">
        <w:rPr>
          <w:rFonts w:ascii="Gotham Rounded Book" w:hAnsi="Gotham Rounded Book"/>
        </w:rPr>
        <w:t xml:space="preserve">Transparencia, </w:t>
      </w:r>
      <w:r w:rsidRPr="00484D6D">
        <w:rPr>
          <w:rFonts w:ascii="Gotham Rounded Book" w:hAnsi="Gotham Rounded Book"/>
        </w:rPr>
        <w:t>Acceso a la Información Pública</w:t>
      </w:r>
      <w:r w:rsidR="00E37592" w:rsidRPr="00484D6D">
        <w:rPr>
          <w:rFonts w:ascii="Gotham Rounded Book" w:hAnsi="Gotham Rounded Book"/>
        </w:rPr>
        <w:t>,</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578C0EB4" w:rsidR="00735F7E" w:rsidRPr="002F2AF3" w:rsidRDefault="00735F7E" w:rsidP="00446E01">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w:t>
            </w:r>
            <w:r w:rsidR="00446E01">
              <w:rPr>
                <w:rFonts w:ascii="Arial Narrow" w:hAnsi="Arial Narrow"/>
                <w:sz w:val="20"/>
                <w:szCs w:val="20"/>
              </w:rPr>
              <w:t>É</w:t>
            </w:r>
            <w:r w:rsidR="00793034">
              <w:rPr>
                <w:rFonts w:ascii="Arial Narrow" w:hAnsi="Arial Narrow"/>
                <w:sz w:val="20"/>
                <w:szCs w:val="20"/>
              </w:rPr>
              <w:t>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061B9849"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4789" w14:textId="77777777" w:rsidR="0097337E" w:rsidRDefault="0097337E" w:rsidP="00193049">
      <w:pPr>
        <w:spacing w:after="0" w:line="240" w:lineRule="auto"/>
      </w:pPr>
      <w:r>
        <w:separator/>
      </w:r>
    </w:p>
  </w:endnote>
  <w:endnote w:type="continuationSeparator" w:id="0">
    <w:p w14:paraId="5F736C88" w14:textId="77777777" w:rsidR="0097337E" w:rsidRDefault="0097337E"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621CD8" w:rsidRDefault="00621CD8">
        <w:pPr>
          <w:pStyle w:val="Piedepgina"/>
          <w:pBdr>
            <w:top w:val="single" w:sz="4" w:space="1" w:color="D9D9D9" w:themeColor="background1" w:themeShade="D9"/>
          </w:pBdr>
          <w:jc w:val="right"/>
        </w:pPr>
        <w:r>
          <w:fldChar w:fldCharType="begin"/>
        </w:r>
        <w:r>
          <w:instrText>PAGE   \* MERGEFORMAT</w:instrText>
        </w:r>
        <w:r>
          <w:fldChar w:fldCharType="separate"/>
        </w:r>
        <w:r w:rsidR="008B7282" w:rsidRPr="008B7282">
          <w:rPr>
            <w:noProof/>
            <w:lang w:val="es-ES"/>
          </w:rPr>
          <w:t>20</w:t>
        </w:r>
        <w:r>
          <w:fldChar w:fldCharType="end"/>
        </w:r>
        <w:r>
          <w:rPr>
            <w:lang w:val="es-ES"/>
          </w:rPr>
          <w:t xml:space="preserve"> | </w:t>
        </w:r>
        <w:r>
          <w:rPr>
            <w:color w:val="7F7F7F" w:themeColor="background1" w:themeShade="7F"/>
            <w:spacing w:val="60"/>
            <w:lang w:val="es-ES"/>
          </w:rPr>
          <w:t>Página</w:t>
        </w:r>
      </w:p>
    </w:sdtContent>
  </w:sdt>
  <w:p w14:paraId="7BC210FB" w14:textId="77777777" w:rsidR="00621CD8" w:rsidRDefault="00621C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621CD8" w:rsidRDefault="00621CD8">
    <w:pPr>
      <w:pStyle w:val="Piedepgina"/>
    </w:pPr>
  </w:p>
  <w:p w14:paraId="7AAD7220" w14:textId="77777777" w:rsidR="00621CD8" w:rsidRDefault="00621C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B2105" w14:textId="77777777" w:rsidR="0097337E" w:rsidRDefault="0097337E" w:rsidP="00193049">
      <w:pPr>
        <w:spacing w:after="0" w:line="240" w:lineRule="auto"/>
      </w:pPr>
      <w:r>
        <w:separator/>
      </w:r>
    </w:p>
  </w:footnote>
  <w:footnote w:type="continuationSeparator" w:id="0">
    <w:p w14:paraId="213F68EF" w14:textId="77777777" w:rsidR="0097337E" w:rsidRDefault="0097337E"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621CD8" w:rsidRDefault="00621CD8">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7E3"/>
    <w:rsid w:val="000048B7"/>
    <w:rsid w:val="00005246"/>
    <w:rsid w:val="000061AB"/>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204BA"/>
    <w:rsid w:val="00021060"/>
    <w:rsid w:val="00021848"/>
    <w:rsid w:val="00021CA5"/>
    <w:rsid w:val="00021E5D"/>
    <w:rsid w:val="000224B5"/>
    <w:rsid w:val="000234F0"/>
    <w:rsid w:val="0002363C"/>
    <w:rsid w:val="00024766"/>
    <w:rsid w:val="00026647"/>
    <w:rsid w:val="0003036F"/>
    <w:rsid w:val="00031E5B"/>
    <w:rsid w:val="00032FD7"/>
    <w:rsid w:val="00034508"/>
    <w:rsid w:val="00034672"/>
    <w:rsid w:val="00036656"/>
    <w:rsid w:val="00037359"/>
    <w:rsid w:val="00037503"/>
    <w:rsid w:val="00037933"/>
    <w:rsid w:val="00040716"/>
    <w:rsid w:val="000426AF"/>
    <w:rsid w:val="000433D9"/>
    <w:rsid w:val="000433EE"/>
    <w:rsid w:val="0004374B"/>
    <w:rsid w:val="00044624"/>
    <w:rsid w:val="00045070"/>
    <w:rsid w:val="00045C72"/>
    <w:rsid w:val="00047159"/>
    <w:rsid w:val="00047375"/>
    <w:rsid w:val="00050828"/>
    <w:rsid w:val="00050FBE"/>
    <w:rsid w:val="000519B0"/>
    <w:rsid w:val="000522EE"/>
    <w:rsid w:val="00052570"/>
    <w:rsid w:val="00052B8D"/>
    <w:rsid w:val="0005347D"/>
    <w:rsid w:val="0005352D"/>
    <w:rsid w:val="0005484E"/>
    <w:rsid w:val="00056034"/>
    <w:rsid w:val="00056316"/>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7974"/>
    <w:rsid w:val="00077D33"/>
    <w:rsid w:val="00080253"/>
    <w:rsid w:val="00080E28"/>
    <w:rsid w:val="00082F17"/>
    <w:rsid w:val="000843E0"/>
    <w:rsid w:val="00085192"/>
    <w:rsid w:val="0008625F"/>
    <w:rsid w:val="0008766B"/>
    <w:rsid w:val="00087919"/>
    <w:rsid w:val="00092040"/>
    <w:rsid w:val="00095955"/>
    <w:rsid w:val="00095F73"/>
    <w:rsid w:val="00096EDF"/>
    <w:rsid w:val="000A0FF9"/>
    <w:rsid w:val="000A2BA5"/>
    <w:rsid w:val="000A312B"/>
    <w:rsid w:val="000A5BA2"/>
    <w:rsid w:val="000A6229"/>
    <w:rsid w:val="000A7DBB"/>
    <w:rsid w:val="000B07CA"/>
    <w:rsid w:val="000B0A3D"/>
    <w:rsid w:val="000B0ED0"/>
    <w:rsid w:val="000B1303"/>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E6C"/>
    <w:rsid w:val="000C0FCF"/>
    <w:rsid w:val="000C2C4E"/>
    <w:rsid w:val="000C3B31"/>
    <w:rsid w:val="000C4F36"/>
    <w:rsid w:val="000C5150"/>
    <w:rsid w:val="000C560E"/>
    <w:rsid w:val="000C5762"/>
    <w:rsid w:val="000C57F9"/>
    <w:rsid w:val="000C5AB6"/>
    <w:rsid w:val="000C5EF6"/>
    <w:rsid w:val="000C60E5"/>
    <w:rsid w:val="000D0F8C"/>
    <w:rsid w:val="000D210B"/>
    <w:rsid w:val="000D2890"/>
    <w:rsid w:val="000D30B2"/>
    <w:rsid w:val="000D30DB"/>
    <w:rsid w:val="000D3B4B"/>
    <w:rsid w:val="000D446E"/>
    <w:rsid w:val="000D5522"/>
    <w:rsid w:val="000D5BBE"/>
    <w:rsid w:val="000D6A51"/>
    <w:rsid w:val="000D7012"/>
    <w:rsid w:val="000E0930"/>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520B"/>
    <w:rsid w:val="00100CC3"/>
    <w:rsid w:val="00101E7F"/>
    <w:rsid w:val="001022A1"/>
    <w:rsid w:val="001027AB"/>
    <w:rsid w:val="00102E65"/>
    <w:rsid w:val="0010620C"/>
    <w:rsid w:val="00106444"/>
    <w:rsid w:val="001064BE"/>
    <w:rsid w:val="00107D24"/>
    <w:rsid w:val="00111852"/>
    <w:rsid w:val="00111A2D"/>
    <w:rsid w:val="00113EF2"/>
    <w:rsid w:val="00114631"/>
    <w:rsid w:val="001155F1"/>
    <w:rsid w:val="001159F9"/>
    <w:rsid w:val="00116182"/>
    <w:rsid w:val="00121AAB"/>
    <w:rsid w:val="001228C9"/>
    <w:rsid w:val="00122B23"/>
    <w:rsid w:val="001232A4"/>
    <w:rsid w:val="001233CF"/>
    <w:rsid w:val="001237A6"/>
    <w:rsid w:val="00124277"/>
    <w:rsid w:val="00124773"/>
    <w:rsid w:val="001251CB"/>
    <w:rsid w:val="00125823"/>
    <w:rsid w:val="0012595D"/>
    <w:rsid w:val="0012680A"/>
    <w:rsid w:val="00130664"/>
    <w:rsid w:val="00133D97"/>
    <w:rsid w:val="00134E4B"/>
    <w:rsid w:val="001355DF"/>
    <w:rsid w:val="00135D60"/>
    <w:rsid w:val="00137352"/>
    <w:rsid w:val="001379EC"/>
    <w:rsid w:val="0014096F"/>
    <w:rsid w:val="00140AB8"/>
    <w:rsid w:val="001415F3"/>
    <w:rsid w:val="00142012"/>
    <w:rsid w:val="0014358E"/>
    <w:rsid w:val="00143902"/>
    <w:rsid w:val="00143B8C"/>
    <w:rsid w:val="001444D3"/>
    <w:rsid w:val="00144575"/>
    <w:rsid w:val="00145655"/>
    <w:rsid w:val="00146A6F"/>
    <w:rsid w:val="00146C64"/>
    <w:rsid w:val="001509B9"/>
    <w:rsid w:val="00150BBB"/>
    <w:rsid w:val="00150DAF"/>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7FC"/>
    <w:rsid w:val="00167C52"/>
    <w:rsid w:val="00170418"/>
    <w:rsid w:val="00170D39"/>
    <w:rsid w:val="00171FB9"/>
    <w:rsid w:val="00172333"/>
    <w:rsid w:val="001745B3"/>
    <w:rsid w:val="001754F1"/>
    <w:rsid w:val="001763D2"/>
    <w:rsid w:val="0018131C"/>
    <w:rsid w:val="00185461"/>
    <w:rsid w:val="001854F1"/>
    <w:rsid w:val="0018652F"/>
    <w:rsid w:val="001907E6"/>
    <w:rsid w:val="00190842"/>
    <w:rsid w:val="001908B7"/>
    <w:rsid w:val="001908CD"/>
    <w:rsid w:val="00190D6C"/>
    <w:rsid w:val="001919C8"/>
    <w:rsid w:val="00191ECF"/>
    <w:rsid w:val="00192AC9"/>
    <w:rsid w:val="00193049"/>
    <w:rsid w:val="00193628"/>
    <w:rsid w:val="001958EE"/>
    <w:rsid w:val="00196151"/>
    <w:rsid w:val="0019712D"/>
    <w:rsid w:val="00197F8C"/>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1174"/>
    <w:rsid w:val="001B216B"/>
    <w:rsid w:val="001B2FBE"/>
    <w:rsid w:val="001B4882"/>
    <w:rsid w:val="001B538D"/>
    <w:rsid w:val="001B560C"/>
    <w:rsid w:val="001B5A79"/>
    <w:rsid w:val="001B5B4B"/>
    <w:rsid w:val="001B5F95"/>
    <w:rsid w:val="001B667C"/>
    <w:rsid w:val="001B7C57"/>
    <w:rsid w:val="001B7CFC"/>
    <w:rsid w:val="001B7D58"/>
    <w:rsid w:val="001C10AE"/>
    <w:rsid w:val="001C10DF"/>
    <w:rsid w:val="001C167F"/>
    <w:rsid w:val="001C3604"/>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C0C"/>
    <w:rsid w:val="001E73BA"/>
    <w:rsid w:val="001F37D3"/>
    <w:rsid w:val="001F5F0F"/>
    <w:rsid w:val="00202219"/>
    <w:rsid w:val="002028EC"/>
    <w:rsid w:val="00202F09"/>
    <w:rsid w:val="00203630"/>
    <w:rsid w:val="00203B0D"/>
    <w:rsid w:val="00203EB4"/>
    <w:rsid w:val="0020446C"/>
    <w:rsid w:val="00204985"/>
    <w:rsid w:val="00204BEA"/>
    <w:rsid w:val="00204EB3"/>
    <w:rsid w:val="00205DAD"/>
    <w:rsid w:val="00206740"/>
    <w:rsid w:val="002073EC"/>
    <w:rsid w:val="0021023C"/>
    <w:rsid w:val="00210343"/>
    <w:rsid w:val="0021058D"/>
    <w:rsid w:val="00210B47"/>
    <w:rsid w:val="002119F7"/>
    <w:rsid w:val="00213FE5"/>
    <w:rsid w:val="0021518D"/>
    <w:rsid w:val="002157C0"/>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5456"/>
    <w:rsid w:val="002358E3"/>
    <w:rsid w:val="00236A76"/>
    <w:rsid w:val="00236E13"/>
    <w:rsid w:val="0023741D"/>
    <w:rsid w:val="002378FB"/>
    <w:rsid w:val="00240365"/>
    <w:rsid w:val="002411CA"/>
    <w:rsid w:val="0024143F"/>
    <w:rsid w:val="00241855"/>
    <w:rsid w:val="002435DD"/>
    <w:rsid w:val="00243783"/>
    <w:rsid w:val="00243C4D"/>
    <w:rsid w:val="0024462B"/>
    <w:rsid w:val="00244A1D"/>
    <w:rsid w:val="00245854"/>
    <w:rsid w:val="00247DAA"/>
    <w:rsid w:val="00250075"/>
    <w:rsid w:val="002508C8"/>
    <w:rsid w:val="00251ACA"/>
    <w:rsid w:val="00252368"/>
    <w:rsid w:val="00253C19"/>
    <w:rsid w:val="002540B1"/>
    <w:rsid w:val="0025490C"/>
    <w:rsid w:val="00254975"/>
    <w:rsid w:val="002553B4"/>
    <w:rsid w:val="00255B4A"/>
    <w:rsid w:val="00256A7D"/>
    <w:rsid w:val="002570F8"/>
    <w:rsid w:val="00257F50"/>
    <w:rsid w:val="00261659"/>
    <w:rsid w:val="00262DEB"/>
    <w:rsid w:val="00265222"/>
    <w:rsid w:val="00266E3C"/>
    <w:rsid w:val="00270405"/>
    <w:rsid w:val="00270612"/>
    <w:rsid w:val="002707C3"/>
    <w:rsid w:val="002716E2"/>
    <w:rsid w:val="00272149"/>
    <w:rsid w:val="00274416"/>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44FA"/>
    <w:rsid w:val="00295A5D"/>
    <w:rsid w:val="00296074"/>
    <w:rsid w:val="002970A6"/>
    <w:rsid w:val="0029778E"/>
    <w:rsid w:val="002A00D5"/>
    <w:rsid w:val="002A03AC"/>
    <w:rsid w:val="002A03B2"/>
    <w:rsid w:val="002A12FC"/>
    <w:rsid w:val="002A24AC"/>
    <w:rsid w:val="002A283C"/>
    <w:rsid w:val="002A33D5"/>
    <w:rsid w:val="002A37AE"/>
    <w:rsid w:val="002A50D8"/>
    <w:rsid w:val="002A5168"/>
    <w:rsid w:val="002A78E1"/>
    <w:rsid w:val="002B0748"/>
    <w:rsid w:val="002B0805"/>
    <w:rsid w:val="002B0F43"/>
    <w:rsid w:val="002B14D0"/>
    <w:rsid w:val="002B21EB"/>
    <w:rsid w:val="002B3EEF"/>
    <w:rsid w:val="002B483E"/>
    <w:rsid w:val="002B5BAB"/>
    <w:rsid w:val="002B6286"/>
    <w:rsid w:val="002B6344"/>
    <w:rsid w:val="002B6923"/>
    <w:rsid w:val="002B74BE"/>
    <w:rsid w:val="002C019E"/>
    <w:rsid w:val="002C1587"/>
    <w:rsid w:val="002C1AEA"/>
    <w:rsid w:val="002C23D1"/>
    <w:rsid w:val="002C3BB4"/>
    <w:rsid w:val="002C7ED2"/>
    <w:rsid w:val="002D0411"/>
    <w:rsid w:val="002D066C"/>
    <w:rsid w:val="002D0E37"/>
    <w:rsid w:val="002D2E4D"/>
    <w:rsid w:val="002D36AE"/>
    <w:rsid w:val="002D3CB1"/>
    <w:rsid w:val="002D50E2"/>
    <w:rsid w:val="002D581E"/>
    <w:rsid w:val="002D5E42"/>
    <w:rsid w:val="002D5EC9"/>
    <w:rsid w:val="002D70F0"/>
    <w:rsid w:val="002E0CFA"/>
    <w:rsid w:val="002E2A18"/>
    <w:rsid w:val="002E3389"/>
    <w:rsid w:val="002E3DAF"/>
    <w:rsid w:val="002E4B9D"/>
    <w:rsid w:val="002E603E"/>
    <w:rsid w:val="002E7B08"/>
    <w:rsid w:val="002F0537"/>
    <w:rsid w:val="002F063B"/>
    <w:rsid w:val="002F23FB"/>
    <w:rsid w:val="002F2AF3"/>
    <w:rsid w:val="002F2BB6"/>
    <w:rsid w:val="002F427D"/>
    <w:rsid w:val="002F4B9E"/>
    <w:rsid w:val="002F6AD6"/>
    <w:rsid w:val="00300008"/>
    <w:rsid w:val="00301BDA"/>
    <w:rsid w:val="00301E89"/>
    <w:rsid w:val="00302AE1"/>
    <w:rsid w:val="00302C9F"/>
    <w:rsid w:val="00302EB1"/>
    <w:rsid w:val="00303A9E"/>
    <w:rsid w:val="00303EB1"/>
    <w:rsid w:val="00305056"/>
    <w:rsid w:val="00305EE2"/>
    <w:rsid w:val="003064D8"/>
    <w:rsid w:val="003065B2"/>
    <w:rsid w:val="00310777"/>
    <w:rsid w:val="00310A01"/>
    <w:rsid w:val="00310BAB"/>
    <w:rsid w:val="0031108C"/>
    <w:rsid w:val="00311337"/>
    <w:rsid w:val="0031356C"/>
    <w:rsid w:val="00314AA7"/>
    <w:rsid w:val="00314B7D"/>
    <w:rsid w:val="00314E5D"/>
    <w:rsid w:val="0031529A"/>
    <w:rsid w:val="00315B50"/>
    <w:rsid w:val="003165E3"/>
    <w:rsid w:val="003169DE"/>
    <w:rsid w:val="00320B9B"/>
    <w:rsid w:val="00320E89"/>
    <w:rsid w:val="00321061"/>
    <w:rsid w:val="00321665"/>
    <w:rsid w:val="00322645"/>
    <w:rsid w:val="003226FB"/>
    <w:rsid w:val="00322CBD"/>
    <w:rsid w:val="00323F9E"/>
    <w:rsid w:val="00325505"/>
    <w:rsid w:val="00326021"/>
    <w:rsid w:val="00326DAB"/>
    <w:rsid w:val="0032721B"/>
    <w:rsid w:val="00331433"/>
    <w:rsid w:val="00331659"/>
    <w:rsid w:val="00331A42"/>
    <w:rsid w:val="0033405B"/>
    <w:rsid w:val="00334867"/>
    <w:rsid w:val="00334FE0"/>
    <w:rsid w:val="00335705"/>
    <w:rsid w:val="003359D1"/>
    <w:rsid w:val="003369BF"/>
    <w:rsid w:val="00336C34"/>
    <w:rsid w:val="00336EDC"/>
    <w:rsid w:val="00341509"/>
    <w:rsid w:val="003423A3"/>
    <w:rsid w:val="0034283E"/>
    <w:rsid w:val="00342929"/>
    <w:rsid w:val="00343239"/>
    <w:rsid w:val="003462FC"/>
    <w:rsid w:val="00346485"/>
    <w:rsid w:val="00347D0B"/>
    <w:rsid w:val="00347F65"/>
    <w:rsid w:val="0035058A"/>
    <w:rsid w:val="00350ED7"/>
    <w:rsid w:val="00350F32"/>
    <w:rsid w:val="00351A89"/>
    <w:rsid w:val="0035318B"/>
    <w:rsid w:val="003531E2"/>
    <w:rsid w:val="00353AA6"/>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0C"/>
    <w:rsid w:val="00366B1C"/>
    <w:rsid w:val="003702CC"/>
    <w:rsid w:val="003703C8"/>
    <w:rsid w:val="00372E35"/>
    <w:rsid w:val="00373838"/>
    <w:rsid w:val="00374682"/>
    <w:rsid w:val="0037638D"/>
    <w:rsid w:val="003775D9"/>
    <w:rsid w:val="00380589"/>
    <w:rsid w:val="00380D89"/>
    <w:rsid w:val="003825BA"/>
    <w:rsid w:val="00382A21"/>
    <w:rsid w:val="003832AD"/>
    <w:rsid w:val="00384189"/>
    <w:rsid w:val="0038519A"/>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28B7"/>
    <w:rsid w:val="003A3374"/>
    <w:rsid w:val="003A38B7"/>
    <w:rsid w:val="003A38CA"/>
    <w:rsid w:val="003A3B2F"/>
    <w:rsid w:val="003A4544"/>
    <w:rsid w:val="003A6EDD"/>
    <w:rsid w:val="003A7064"/>
    <w:rsid w:val="003A7CC6"/>
    <w:rsid w:val="003A7DAC"/>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F"/>
    <w:rsid w:val="003C11C3"/>
    <w:rsid w:val="003C1C59"/>
    <w:rsid w:val="003C2EF1"/>
    <w:rsid w:val="003C3129"/>
    <w:rsid w:val="003C347C"/>
    <w:rsid w:val="003C3B6C"/>
    <w:rsid w:val="003C4898"/>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6904"/>
    <w:rsid w:val="00400356"/>
    <w:rsid w:val="00401FE1"/>
    <w:rsid w:val="004024A9"/>
    <w:rsid w:val="00402A53"/>
    <w:rsid w:val="00403B7A"/>
    <w:rsid w:val="00403F91"/>
    <w:rsid w:val="00404140"/>
    <w:rsid w:val="004054FA"/>
    <w:rsid w:val="00406536"/>
    <w:rsid w:val="004074B2"/>
    <w:rsid w:val="004108F7"/>
    <w:rsid w:val="00410D69"/>
    <w:rsid w:val="00411532"/>
    <w:rsid w:val="00413028"/>
    <w:rsid w:val="00413720"/>
    <w:rsid w:val="00413AB7"/>
    <w:rsid w:val="004147E6"/>
    <w:rsid w:val="00415442"/>
    <w:rsid w:val="0041608C"/>
    <w:rsid w:val="004161B4"/>
    <w:rsid w:val="00416996"/>
    <w:rsid w:val="0041769E"/>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58FE"/>
    <w:rsid w:val="00435C83"/>
    <w:rsid w:val="00435DB0"/>
    <w:rsid w:val="004369CE"/>
    <w:rsid w:val="00437D15"/>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39B9"/>
    <w:rsid w:val="0045654A"/>
    <w:rsid w:val="00456621"/>
    <w:rsid w:val="0046036E"/>
    <w:rsid w:val="004607ED"/>
    <w:rsid w:val="0046127F"/>
    <w:rsid w:val="00462F5A"/>
    <w:rsid w:val="00463143"/>
    <w:rsid w:val="004631C5"/>
    <w:rsid w:val="004653EA"/>
    <w:rsid w:val="00466985"/>
    <w:rsid w:val="004679BF"/>
    <w:rsid w:val="00470266"/>
    <w:rsid w:val="004721AB"/>
    <w:rsid w:val="00472822"/>
    <w:rsid w:val="00473A23"/>
    <w:rsid w:val="004746EB"/>
    <w:rsid w:val="00474E1C"/>
    <w:rsid w:val="004769C7"/>
    <w:rsid w:val="00476C85"/>
    <w:rsid w:val="00480472"/>
    <w:rsid w:val="00482569"/>
    <w:rsid w:val="00482B0C"/>
    <w:rsid w:val="00484D6D"/>
    <w:rsid w:val="00484F31"/>
    <w:rsid w:val="004858F4"/>
    <w:rsid w:val="00485A05"/>
    <w:rsid w:val="00486FE0"/>
    <w:rsid w:val="00487676"/>
    <w:rsid w:val="004922B8"/>
    <w:rsid w:val="00492C2A"/>
    <w:rsid w:val="00494C28"/>
    <w:rsid w:val="004958A6"/>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B9D"/>
    <w:rsid w:val="004D2C18"/>
    <w:rsid w:val="004D463A"/>
    <w:rsid w:val="004D4F4B"/>
    <w:rsid w:val="004D5761"/>
    <w:rsid w:val="004E05C2"/>
    <w:rsid w:val="004E1DF2"/>
    <w:rsid w:val="004E1EDD"/>
    <w:rsid w:val="004E2AEE"/>
    <w:rsid w:val="004E2D06"/>
    <w:rsid w:val="004E31C5"/>
    <w:rsid w:val="004E34AA"/>
    <w:rsid w:val="004E3FA7"/>
    <w:rsid w:val="004E5064"/>
    <w:rsid w:val="004E50B9"/>
    <w:rsid w:val="004E5F28"/>
    <w:rsid w:val="004E63E0"/>
    <w:rsid w:val="004E736E"/>
    <w:rsid w:val="004E7FFB"/>
    <w:rsid w:val="004F0C34"/>
    <w:rsid w:val="004F11AC"/>
    <w:rsid w:val="004F1C2D"/>
    <w:rsid w:val="004F28FE"/>
    <w:rsid w:val="004F2DA5"/>
    <w:rsid w:val="004F460F"/>
    <w:rsid w:val="00500541"/>
    <w:rsid w:val="00502A0D"/>
    <w:rsid w:val="00503885"/>
    <w:rsid w:val="00503996"/>
    <w:rsid w:val="00503C3A"/>
    <w:rsid w:val="005043F3"/>
    <w:rsid w:val="00505097"/>
    <w:rsid w:val="00507334"/>
    <w:rsid w:val="0050738D"/>
    <w:rsid w:val="005100BC"/>
    <w:rsid w:val="00510380"/>
    <w:rsid w:val="0051052E"/>
    <w:rsid w:val="00511444"/>
    <w:rsid w:val="00512DE4"/>
    <w:rsid w:val="00513BFA"/>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E65"/>
    <w:rsid w:val="005271A0"/>
    <w:rsid w:val="00527A54"/>
    <w:rsid w:val="00530092"/>
    <w:rsid w:val="005317FE"/>
    <w:rsid w:val="00531DC4"/>
    <w:rsid w:val="00531E92"/>
    <w:rsid w:val="00532D20"/>
    <w:rsid w:val="005330AB"/>
    <w:rsid w:val="005346E9"/>
    <w:rsid w:val="0053529A"/>
    <w:rsid w:val="00536B1A"/>
    <w:rsid w:val="00537686"/>
    <w:rsid w:val="005403A5"/>
    <w:rsid w:val="0054153F"/>
    <w:rsid w:val="00541F48"/>
    <w:rsid w:val="00541F49"/>
    <w:rsid w:val="0054284A"/>
    <w:rsid w:val="00542928"/>
    <w:rsid w:val="00543EAC"/>
    <w:rsid w:val="00544D65"/>
    <w:rsid w:val="00545094"/>
    <w:rsid w:val="0054640A"/>
    <w:rsid w:val="00546F5F"/>
    <w:rsid w:val="0055034A"/>
    <w:rsid w:val="00550AFA"/>
    <w:rsid w:val="0055177F"/>
    <w:rsid w:val="00553BFA"/>
    <w:rsid w:val="00554215"/>
    <w:rsid w:val="005556D2"/>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32AE"/>
    <w:rsid w:val="005A4065"/>
    <w:rsid w:val="005A472B"/>
    <w:rsid w:val="005A56BC"/>
    <w:rsid w:val="005A6396"/>
    <w:rsid w:val="005B04C5"/>
    <w:rsid w:val="005B0F2E"/>
    <w:rsid w:val="005B11E3"/>
    <w:rsid w:val="005B19CD"/>
    <w:rsid w:val="005B1DF7"/>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4F6F"/>
    <w:rsid w:val="005D655D"/>
    <w:rsid w:val="005D7353"/>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74A5"/>
    <w:rsid w:val="005E7DAE"/>
    <w:rsid w:val="005E7EA1"/>
    <w:rsid w:val="005F068F"/>
    <w:rsid w:val="005F0C31"/>
    <w:rsid w:val="005F0CC9"/>
    <w:rsid w:val="005F1205"/>
    <w:rsid w:val="005F1309"/>
    <w:rsid w:val="005F146E"/>
    <w:rsid w:val="005F1952"/>
    <w:rsid w:val="005F218D"/>
    <w:rsid w:val="005F3314"/>
    <w:rsid w:val="005F4054"/>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C3"/>
    <w:rsid w:val="00641420"/>
    <w:rsid w:val="00641FDF"/>
    <w:rsid w:val="00642847"/>
    <w:rsid w:val="006433E8"/>
    <w:rsid w:val="006441C8"/>
    <w:rsid w:val="00644393"/>
    <w:rsid w:val="00644D48"/>
    <w:rsid w:val="0064529C"/>
    <w:rsid w:val="00645B94"/>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79D0"/>
    <w:rsid w:val="00690320"/>
    <w:rsid w:val="006909D0"/>
    <w:rsid w:val="006917B8"/>
    <w:rsid w:val="006918D6"/>
    <w:rsid w:val="0069236E"/>
    <w:rsid w:val="006923FC"/>
    <w:rsid w:val="006926B0"/>
    <w:rsid w:val="00694CF8"/>
    <w:rsid w:val="00695C96"/>
    <w:rsid w:val="006962A9"/>
    <w:rsid w:val="006969A4"/>
    <w:rsid w:val="00697A2E"/>
    <w:rsid w:val="00697FA5"/>
    <w:rsid w:val="006A0C22"/>
    <w:rsid w:val="006A0C6A"/>
    <w:rsid w:val="006A0FBB"/>
    <w:rsid w:val="006A195E"/>
    <w:rsid w:val="006A2211"/>
    <w:rsid w:val="006A4738"/>
    <w:rsid w:val="006A545E"/>
    <w:rsid w:val="006A7CC5"/>
    <w:rsid w:val="006B0074"/>
    <w:rsid w:val="006B015A"/>
    <w:rsid w:val="006B0B68"/>
    <w:rsid w:val="006B1239"/>
    <w:rsid w:val="006B16BE"/>
    <w:rsid w:val="006B3E90"/>
    <w:rsid w:val="006B410B"/>
    <w:rsid w:val="006B48E3"/>
    <w:rsid w:val="006C10AA"/>
    <w:rsid w:val="006C37C5"/>
    <w:rsid w:val="006C6939"/>
    <w:rsid w:val="006C7067"/>
    <w:rsid w:val="006D13B1"/>
    <w:rsid w:val="006D2756"/>
    <w:rsid w:val="006D30B1"/>
    <w:rsid w:val="006D32A4"/>
    <w:rsid w:val="006D410D"/>
    <w:rsid w:val="006D4114"/>
    <w:rsid w:val="006D6752"/>
    <w:rsid w:val="006D69F1"/>
    <w:rsid w:val="006D6FDB"/>
    <w:rsid w:val="006D748F"/>
    <w:rsid w:val="006E027D"/>
    <w:rsid w:val="006E02D9"/>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72F"/>
    <w:rsid w:val="0070192E"/>
    <w:rsid w:val="00702461"/>
    <w:rsid w:val="0070283F"/>
    <w:rsid w:val="00702E37"/>
    <w:rsid w:val="00702F50"/>
    <w:rsid w:val="0070319E"/>
    <w:rsid w:val="0070342E"/>
    <w:rsid w:val="00704258"/>
    <w:rsid w:val="007044F2"/>
    <w:rsid w:val="00704601"/>
    <w:rsid w:val="00705E5E"/>
    <w:rsid w:val="00705EC3"/>
    <w:rsid w:val="0070767B"/>
    <w:rsid w:val="0071002D"/>
    <w:rsid w:val="00711FAB"/>
    <w:rsid w:val="00712530"/>
    <w:rsid w:val="0071262C"/>
    <w:rsid w:val="00713107"/>
    <w:rsid w:val="007136A8"/>
    <w:rsid w:val="007146B5"/>
    <w:rsid w:val="00714943"/>
    <w:rsid w:val="00714A40"/>
    <w:rsid w:val="00714FA6"/>
    <w:rsid w:val="00715445"/>
    <w:rsid w:val="00717318"/>
    <w:rsid w:val="00717908"/>
    <w:rsid w:val="007200E2"/>
    <w:rsid w:val="00721133"/>
    <w:rsid w:val="0072398C"/>
    <w:rsid w:val="00724937"/>
    <w:rsid w:val="00725F65"/>
    <w:rsid w:val="007269A8"/>
    <w:rsid w:val="00726C0D"/>
    <w:rsid w:val="00726DD5"/>
    <w:rsid w:val="00727D52"/>
    <w:rsid w:val="007318F3"/>
    <w:rsid w:val="00732BC6"/>
    <w:rsid w:val="00733FCD"/>
    <w:rsid w:val="007346E2"/>
    <w:rsid w:val="00735D15"/>
    <w:rsid w:val="00735F7E"/>
    <w:rsid w:val="00737255"/>
    <w:rsid w:val="00737345"/>
    <w:rsid w:val="007374A0"/>
    <w:rsid w:val="00740648"/>
    <w:rsid w:val="00740B14"/>
    <w:rsid w:val="00741BE9"/>
    <w:rsid w:val="0074260D"/>
    <w:rsid w:val="007426A2"/>
    <w:rsid w:val="007426D8"/>
    <w:rsid w:val="0074336F"/>
    <w:rsid w:val="00743553"/>
    <w:rsid w:val="00743D1F"/>
    <w:rsid w:val="0074428A"/>
    <w:rsid w:val="00744336"/>
    <w:rsid w:val="007458D6"/>
    <w:rsid w:val="00746403"/>
    <w:rsid w:val="00747429"/>
    <w:rsid w:val="007502A6"/>
    <w:rsid w:val="007515FB"/>
    <w:rsid w:val="00754404"/>
    <w:rsid w:val="0075549D"/>
    <w:rsid w:val="0075587A"/>
    <w:rsid w:val="007567BF"/>
    <w:rsid w:val="00760AC5"/>
    <w:rsid w:val="00761E90"/>
    <w:rsid w:val="00761FDE"/>
    <w:rsid w:val="007635BC"/>
    <w:rsid w:val="0076516E"/>
    <w:rsid w:val="0076547D"/>
    <w:rsid w:val="00765BA2"/>
    <w:rsid w:val="00767D67"/>
    <w:rsid w:val="0077069E"/>
    <w:rsid w:val="0077226A"/>
    <w:rsid w:val="007741B1"/>
    <w:rsid w:val="00774EE9"/>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E76"/>
    <w:rsid w:val="0079171D"/>
    <w:rsid w:val="00791843"/>
    <w:rsid w:val="00792FEC"/>
    <w:rsid w:val="00793034"/>
    <w:rsid w:val="00793CC9"/>
    <w:rsid w:val="00794EFE"/>
    <w:rsid w:val="00795029"/>
    <w:rsid w:val="007950DD"/>
    <w:rsid w:val="007956A3"/>
    <w:rsid w:val="0079705B"/>
    <w:rsid w:val="007A1B8E"/>
    <w:rsid w:val="007A1C47"/>
    <w:rsid w:val="007A3F2D"/>
    <w:rsid w:val="007A3F95"/>
    <w:rsid w:val="007A494B"/>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12A1"/>
    <w:rsid w:val="007C2486"/>
    <w:rsid w:val="007C2E8D"/>
    <w:rsid w:val="007C370D"/>
    <w:rsid w:val="007C53CB"/>
    <w:rsid w:val="007C58F0"/>
    <w:rsid w:val="007C633C"/>
    <w:rsid w:val="007C69DF"/>
    <w:rsid w:val="007C7BAB"/>
    <w:rsid w:val="007C7EE1"/>
    <w:rsid w:val="007D14AE"/>
    <w:rsid w:val="007D2216"/>
    <w:rsid w:val="007D260F"/>
    <w:rsid w:val="007D292C"/>
    <w:rsid w:val="007D32D6"/>
    <w:rsid w:val="007D50AB"/>
    <w:rsid w:val="007D52FA"/>
    <w:rsid w:val="007D5E5B"/>
    <w:rsid w:val="007D6599"/>
    <w:rsid w:val="007D6A25"/>
    <w:rsid w:val="007D726C"/>
    <w:rsid w:val="007E25BF"/>
    <w:rsid w:val="007E34BB"/>
    <w:rsid w:val="007E71D2"/>
    <w:rsid w:val="007E7388"/>
    <w:rsid w:val="007E75B5"/>
    <w:rsid w:val="007F071D"/>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F"/>
    <w:rsid w:val="008104B9"/>
    <w:rsid w:val="008121A8"/>
    <w:rsid w:val="008126DC"/>
    <w:rsid w:val="00812A77"/>
    <w:rsid w:val="00814431"/>
    <w:rsid w:val="00814632"/>
    <w:rsid w:val="008146B2"/>
    <w:rsid w:val="00815131"/>
    <w:rsid w:val="00815822"/>
    <w:rsid w:val="00815AEC"/>
    <w:rsid w:val="00816E89"/>
    <w:rsid w:val="00816F4A"/>
    <w:rsid w:val="0081717C"/>
    <w:rsid w:val="00820235"/>
    <w:rsid w:val="008234D1"/>
    <w:rsid w:val="0082372E"/>
    <w:rsid w:val="00826109"/>
    <w:rsid w:val="00827488"/>
    <w:rsid w:val="00832A76"/>
    <w:rsid w:val="0083474C"/>
    <w:rsid w:val="00834787"/>
    <w:rsid w:val="00834B09"/>
    <w:rsid w:val="00835971"/>
    <w:rsid w:val="00836954"/>
    <w:rsid w:val="008375A6"/>
    <w:rsid w:val="0083784E"/>
    <w:rsid w:val="00840251"/>
    <w:rsid w:val="00840707"/>
    <w:rsid w:val="00840A3B"/>
    <w:rsid w:val="00841376"/>
    <w:rsid w:val="00843D85"/>
    <w:rsid w:val="00844022"/>
    <w:rsid w:val="0084503B"/>
    <w:rsid w:val="00845ACD"/>
    <w:rsid w:val="00845BC0"/>
    <w:rsid w:val="008476CA"/>
    <w:rsid w:val="008508D8"/>
    <w:rsid w:val="00850995"/>
    <w:rsid w:val="00852E92"/>
    <w:rsid w:val="0085368B"/>
    <w:rsid w:val="00853A7D"/>
    <w:rsid w:val="00853F6F"/>
    <w:rsid w:val="00854273"/>
    <w:rsid w:val="00854F4C"/>
    <w:rsid w:val="00854F64"/>
    <w:rsid w:val="00855BBF"/>
    <w:rsid w:val="00856078"/>
    <w:rsid w:val="008609C0"/>
    <w:rsid w:val="008610D2"/>
    <w:rsid w:val="00862CF0"/>
    <w:rsid w:val="00863C73"/>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809E3"/>
    <w:rsid w:val="00880A10"/>
    <w:rsid w:val="00881157"/>
    <w:rsid w:val="00881A30"/>
    <w:rsid w:val="00882A30"/>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B95"/>
    <w:rsid w:val="008A01A5"/>
    <w:rsid w:val="008A1664"/>
    <w:rsid w:val="008A74BC"/>
    <w:rsid w:val="008A7935"/>
    <w:rsid w:val="008B0266"/>
    <w:rsid w:val="008B1767"/>
    <w:rsid w:val="008B1982"/>
    <w:rsid w:val="008B1A97"/>
    <w:rsid w:val="008B31EA"/>
    <w:rsid w:val="008B36B0"/>
    <w:rsid w:val="008B3B41"/>
    <w:rsid w:val="008B3BA5"/>
    <w:rsid w:val="008B4A55"/>
    <w:rsid w:val="008B5272"/>
    <w:rsid w:val="008B655E"/>
    <w:rsid w:val="008B7282"/>
    <w:rsid w:val="008C214F"/>
    <w:rsid w:val="008C2A16"/>
    <w:rsid w:val="008C32C2"/>
    <w:rsid w:val="008C3602"/>
    <w:rsid w:val="008C397D"/>
    <w:rsid w:val="008C3AED"/>
    <w:rsid w:val="008C3BF7"/>
    <w:rsid w:val="008C5143"/>
    <w:rsid w:val="008C5AB9"/>
    <w:rsid w:val="008C5F2C"/>
    <w:rsid w:val="008C6F74"/>
    <w:rsid w:val="008C7342"/>
    <w:rsid w:val="008C76D6"/>
    <w:rsid w:val="008D0E22"/>
    <w:rsid w:val="008D1107"/>
    <w:rsid w:val="008D4008"/>
    <w:rsid w:val="008D4645"/>
    <w:rsid w:val="008D4A01"/>
    <w:rsid w:val="008D51B0"/>
    <w:rsid w:val="008D7287"/>
    <w:rsid w:val="008E01B1"/>
    <w:rsid w:val="008E0C7C"/>
    <w:rsid w:val="008E1C3F"/>
    <w:rsid w:val="008E2AA0"/>
    <w:rsid w:val="008E3522"/>
    <w:rsid w:val="008E367A"/>
    <w:rsid w:val="008E7066"/>
    <w:rsid w:val="008E7421"/>
    <w:rsid w:val="008F0698"/>
    <w:rsid w:val="008F0ABA"/>
    <w:rsid w:val="008F1378"/>
    <w:rsid w:val="008F14B4"/>
    <w:rsid w:val="008F1837"/>
    <w:rsid w:val="008F2014"/>
    <w:rsid w:val="008F29DA"/>
    <w:rsid w:val="008F3C55"/>
    <w:rsid w:val="008F4A1E"/>
    <w:rsid w:val="008F4B05"/>
    <w:rsid w:val="008F4FFE"/>
    <w:rsid w:val="008F5B16"/>
    <w:rsid w:val="008F5CBB"/>
    <w:rsid w:val="008F6225"/>
    <w:rsid w:val="008F63A8"/>
    <w:rsid w:val="008F6873"/>
    <w:rsid w:val="008F7071"/>
    <w:rsid w:val="008F7528"/>
    <w:rsid w:val="00901097"/>
    <w:rsid w:val="009011BA"/>
    <w:rsid w:val="00901561"/>
    <w:rsid w:val="00902C9B"/>
    <w:rsid w:val="009038C5"/>
    <w:rsid w:val="00903CDF"/>
    <w:rsid w:val="009043A4"/>
    <w:rsid w:val="009056F9"/>
    <w:rsid w:val="0090589C"/>
    <w:rsid w:val="00905F09"/>
    <w:rsid w:val="00906317"/>
    <w:rsid w:val="00907CC9"/>
    <w:rsid w:val="0091017C"/>
    <w:rsid w:val="00910789"/>
    <w:rsid w:val="00910AE1"/>
    <w:rsid w:val="00911F65"/>
    <w:rsid w:val="00912B06"/>
    <w:rsid w:val="00913086"/>
    <w:rsid w:val="00913C45"/>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89E"/>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465D"/>
    <w:rsid w:val="009463F8"/>
    <w:rsid w:val="0094651C"/>
    <w:rsid w:val="00946816"/>
    <w:rsid w:val="00946A2C"/>
    <w:rsid w:val="00946C58"/>
    <w:rsid w:val="0095002B"/>
    <w:rsid w:val="00950502"/>
    <w:rsid w:val="009522F7"/>
    <w:rsid w:val="00952792"/>
    <w:rsid w:val="00952DAF"/>
    <w:rsid w:val="00953F9E"/>
    <w:rsid w:val="00954A0A"/>
    <w:rsid w:val="00954B74"/>
    <w:rsid w:val="009551E0"/>
    <w:rsid w:val="009556E7"/>
    <w:rsid w:val="0095592F"/>
    <w:rsid w:val="00955EE4"/>
    <w:rsid w:val="009562BC"/>
    <w:rsid w:val="00956377"/>
    <w:rsid w:val="009563DB"/>
    <w:rsid w:val="00957A8C"/>
    <w:rsid w:val="00957E87"/>
    <w:rsid w:val="00957F9F"/>
    <w:rsid w:val="009615D6"/>
    <w:rsid w:val="00962897"/>
    <w:rsid w:val="0096598C"/>
    <w:rsid w:val="00966F1C"/>
    <w:rsid w:val="00970043"/>
    <w:rsid w:val="009708A1"/>
    <w:rsid w:val="00971069"/>
    <w:rsid w:val="00971418"/>
    <w:rsid w:val="00971922"/>
    <w:rsid w:val="00972809"/>
    <w:rsid w:val="00972935"/>
    <w:rsid w:val="0097337E"/>
    <w:rsid w:val="00973AF9"/>
    <w:rsid w:val="0097440A"/>
    <w:rsid w:val="0097509C"/>
    <w:rsid w:val="00977041"/>
    <w:rsid w:val="00977368"/>
    <w:rsid w:val="00980192"/>
    <w:rsid w:val="0098021B"/>
    <w:rsid w:val="00980985"/>
    <w:rsid w:val="009810F2"/>
    <w:rsid w:val="00982669"/>
    <w:rsid w:val="00983149"/>
    <w:rsid w:val="009845F4"/>
    <w:rsid w:val="009858C8"/>
    <w:rsid w:val="00985A2D"/>
    <w:rsid w:val="00986364"/>
    <w:rsid w:val="00990838"/>
    <w:rsid w:val="00991328"/>
    <w:rsid w:val="00993B2C"/>
    <w:rsid w:val="00993C24"/>
    <w:rsid w:val="009968B9"/>
    <w:rsid w:val="00997856"/>
    <w:rsid w:val="009A1A39"/>
    <w:rsid w:val="009A28F4"/>
    <w:rsid w:val="009A2A03"/>
    <w:rsid w:val="009A2F48"/>
    <w:rsid w:val="009A308D"/>
    <w:rsid w:val="009A32E0"/>
    <w:rsid w:val="009A3436"/>
    <w:rsid w:val="009A378F"/>
    <w:rsid w:val="009A581F"/>
    <w:rsid w:val="009A58A7"/>
    <w:rsid w:val="009A6D67"/>
    <w:rsid w:val="009A7C7B"/>
    <w:rsid w:val="009A7F5D"/>
    <w:rsid w:val="009B0049"/>
    <w:rsid w:val="009B0438"/>
    <w:rsid w:val="009B0AC5"/>
    <w:rsid w:val="009B119F"/>
    <w:rsid w:val="009B18CF"/>
    <w:rsid w:val="009B19F9"/>
    <w:rsid w:val="009B3289"/>
    <w:rsid w:val="009B362B"/>
    <w:rsid w:val="009B48CB"/>
    <w:rsid w:val="009B4E3A"/>
    <w:rsid w:val="009B7A8C"/>
    <w:rsid w:val="009B7E8F"/>
    <w:rsid w:val="009C1707"/>
    <w:rsid w:val="009C1ABC"/>
    <w:rsid w:val="009C1D7F"/>
    <w:rsid w:val="009C3807"/>
    <w:rsid w:val="009C3827"/>
    <w:rsid w:val="009C52E7"/>
    <w:rsid w:val="009C5E53"/>
    <w:rsid w:val="009C5FA2"/>
    <w:rsid w:val="009C62BF"/>
    <w:rsid w:val="009C703F"/>
    <w:rsid w:val="009C7343"/>
    <w:rsid w:val="009D0D0E"/>
    <w:rsid w:val="009D103C"/>
    <w:rsid w:val="009D3AA6"/>
    <w:rsid w:val="009D3CB0"/>
    <w:rsid w:val="009D4085"/>
    <w:rsid w:val="009D57AA"/>
    <w:rsid w:val="009D61EF"/>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5046"/>
    <w:rsid w:val="009F50D5"/>
    <w:rsid w:val="009F604F"/>
    <w:rsid w:val="009F6898"/>
    <w:rsid w:val="009F6BC0"/>
    <w:rsid w:val="009F76DE"/>
    <w:rsid w:val="009F770E"/>
    <w:rsid w:val="00A001A1"/>
    <w:rsid w:val="00A00A2E"/>
    <w:rsid w:val="00A0107E"/>
    <w:rsid w:val="00A019CC"/>
    <w:rsid w:val="00A01CD9"/>
    <w:rsid w:val="00A01E31"/>
    <w:rsid w:val="00A01F51"/>
    <w:rsid w:val="00A026D0"/>
    <w:rsid w:val="00A02E85"/>
    <w:rsid w:val="00A0387E"/>
    <w:rsid w:val="00A042B9"/>
    <w:rsid w:val="00A05FCF"/>
    <w:rsid w:val="00A068C2"/>
    <w:rsid w:val="00A06A0E"/>
    <w:rsid w:val="00A0702F"/>
    <w:rsid w:val="00A07EB6"/>
    <w:rsid w:val="00A1045A"/>
    <w:rsid w:val="00A10693"/>
    <w:rsid w:val="00A10B0F"/>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7A4F"/>
    <w:rsid w:val="00A3063D"/>
    <w:rsid w:val="00A3199D"/>
    <w:rsid w:val="00A31ED7"/>
    <w:rsid w:val="00A32803"/>
    <w:rsid w:val="00A3487C"/>
    <w:rsid w:val="00A358ED"/>
    <w:rsid w:val="00A36306"/>
    <w:rsid w:val="00A4069E"/>
    <w:rsid w:val="00A40844"/>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4349"/>
    <w:rsid w:val="00A64817"/>
    <w:rsid w:val="00A64E1D"/>
    <w:rsid w:val="00A67A1B"/>
    <w:rsid w:val="00A7025F"/>
    <w:rsid w:val="00A70467"/>
    <w:rsid w:val="00A7130E"/>
    <w:rsid w:val="00A71353"/>
    <w:rsid w:val="00A71632"/>
    <w:rsid w:val="00A717A5"/>
    <w:rsid w:val="00A73306"/>
    <w:rsid w:val="00A74C4F"/>
    <w:rsid w:val="00A75ACF"/>
    <w:rsid w:val="00A7792D"/>
    <w:rsid w:val="00A8130E"/>
    <w:rsid w:val="00A81652"/>
    <w:rsid w:val="00A81C3E"/>
    <w:rsid w:val="00A82BD4"/>
    <w:rsid w:val="00A82E55"/>
    <w:rsid w:val="00A844E8"/>
    <w:rsid w:val="00A8599D"/>
    <w:rsid w:val="00A85BA9"/>
    <w:rsid w:val="00A866F1"/>
    <w:rsid w:val="00A91411"/>
    <w:rsid w:val="00A92EDF"/>
    <w:rsid w:val="00A93F1B"/>
    <w:rsid w:val="00A952F6"/>
    <w:rsid w:val="00A95CFA"/>
    <w:rsid w:val="00A96DE8"/>
    <w:rsid w:val="00A97520"/>
    <w:rsid w:val="00AA0743"/>
    <w:rsid w:val="00AA0FFE"/>
    <w:rsid w:val="00AA14C9"/>
    <w:rsid w:val="00AA25DD"/>
    <w:rsid w:val="00AA27F3"/>
    <w:rsid w:val="00AA3B95"/>
    <w:rsid w:val="00AA3EF8"/>
    <w:rsid w:val="00AA4AD1"/>
    <w:rsid w:val="00AA6130"/>
    <w:rsid w:val="00AA6136"/>
    <w:rsid w:val="00AA7162"/>
    <w:rsid w:val="00AA71DE"/>
    <w:rsid w:val="00AA7E3B"/>
    <w:rsid w:val="00AB252A"/>
    <w:rsid w:val="00AB25C3"/>
    <w:rsid w:val="00AB4934"/>
    <w:rsid w:val="00AB4C76"/>
    <w:rsid w:val="00AB6B63"/>
    <w:rsid w:val="00AB719C"/>
    <w:rsid w:val="00AB7B69"/>
    <w:rsid w:val="00AC01C7"/>
    <w:rsid w:val="00AC09E9"/>
    <w:rsid w:val="00AC0E63"/>
    <w:rsid w:val="00AC10CB"/>
    <w:rsid w:val="00AC18AF"/>
    <w:rsid w:val="00AC194D"/>
    <w:rsid w:val="00AC2242"/>
    <w:rsid w:val="00AC24CA"/>
    <w:rsid w:val="00AC2B78"/>
    <w:rsid w:val="00AC4253"/>
    <w:rsid w:val="00AC4F68"/>
    <w:rsid w:val="00AC57A8"/>
    <w:rsid w:val="00AC6CC8"/>
    <w:rsid w:val="00AC7AD3"/>
    <w:rsid w:val="00AD079A"/>
    <w:rsid w:val="00AD1197"/>
    <w:rsid w:val="00AD2400"/>
    <w:rsid w:val="00AD27AB"/>
    <w:rsid w:val="00AD4052"/>
    <w:rsid w:val="00AD4F4A"/>
    <w:rsid w:val="00AD534E"/>
    <w:rsid w:val="00AD59E1"/>
    <w:rsid w:val="00AD630A"/>
    <w:rsid w:val="00AD6E07"/>
    <w:rsid w:val="00AD7D29"/>
    <w:rsid w:val="00AE016D"/>
    <w:rsid w:val="00AE0288"/>
    <w:rsid w:val="00AE5D03"/>
    <w:rsid w:val="00AE7E8E"/>
    <w:rsid w:val="00AF0899"/>
    <w:rsid w:val="00AF1865"/>
    <w:rsid w:val="00AF1DCE"/>
    <w:rsid w:val="00AF1E5A"/>
    <w:rsid w:val="00AF2921"/>
    <w:rsid w:val="00AF3685"/>
    <w:rsid w:val="00AF5A92"/>
    <w:rsid w:val="00AF5C42"/>
    <w:rsid w:val="00AF71CB"/>
    <w:rsid w:val="00B01457"/>
    <w:rsid w:val="00B02640"/>
    <w:rsid w:val="00B0300C"/>
    <w:rsid w:val="00B04EBD"/>
    <w:rsid w:val="00B05548"/>
    <w:rsid w:val="00B0572B"/>
    <w:rsid w:val="00B05734"/>
    <w:rsid w:val="00B0636F"/>
    <w:rsid w:val="00B06433"/>
    <w:rsid w:val="00B06571"/>
    <w:rsid w:val="00B06958"/>
    <w:rsid w:val="00B07416"/>
    <w:rsid w:val="00B07E8C"/>
    <w:rsid w:val="00B100F9"/>
    <w:rsid w:val="00B10A09"/>
    <w:rsid w:val="00B111A4"/>
    <w:rsid w:val="00B14007"/>
    <w:rsid w:val="00B1487A"/>
    <w:rsid w:val="00B15773"/>
    <w:rsid w:val="00B20026"/>
    <w:rsid w:val="00B2156E"/>
    <w:rsid w:val="00B21B73"/>
    <w:rsid w:val="00B22057"/>
    <w:rsid w:val="00B256CD"/>
    <w:rsid w:val="00B2580E"/>
    <w:rsid w:val="00B25997"/>
    <w:rsid w:val="00B25B38"/>
    <w:rsid w:val="00B25E3B"/>
    <w:rsid w:val="00B26C1C"/>
    <w:rsid w:val="00B3089D"/>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63A"/>
    <w:rsid w:val="00B450BE"/>
    <w:rsid w:val="00B457CC"/>
    <w:rsid w:val="00B45C4A"/>
    <w:rsid w:val="00B45D58"/>
    <w:rsid w:val="00B45F6B"/>
    <w:rsid w:val="00B46B3E"/>
    <w:rsid w:val="00B517AD"/>
    <w:rsid w:val="00B538C2"/>
    <w:rsid w:val="00B57581"/>
    <w:rsid w:val="00B57F41"/>
    <w:rsid w:val="00B6211D"/>
    <w:rsid w:val="00B6252C"/>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634"/>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54A8"/>
    <w:rsid w:val="00B95EAE"/>
    <w:rsid w:val="00BA1AB5"/>
    <w:rsid w:val="00BA287E"/>
    <w:rsid w:val="00BA2DDA"/>
    <w:rsid w:val="00BA4098"/>
    <w:rsid w:val="00BA6EB5"/>
    <w:rsid w:val="00BB146E"/>
    <w:rsid w:val="00BB18D8"/>
    <w:rsid w:val="00BB1A19"/>
    <w:rsid w:val="00BB1ADC"/>
    <w:rsid w:val="00BB1E63"/>
    <w:rsid w:val="00BB220B"/>
    <w:rsid w:val="00BB3EE6"/>
    <w:rsid w:val="00BB471D"/>
    <w:rsid w:val="00BB47AF"/>
    <w:rsid w:val="00BB644F"/>
    <w:rsid w:val="00BB6537"/>
    <w:rsid w:val="00BB692F"/>
    <w:rsid w:val="00BB76D0"/>
    <w:rsid w:val="00BB7F93"/>
    <w:rsid w:val="00BC1E74"/>
    <w:rsid w:val="00BC252F"/>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49A8"/>
    <w:rsid w:val="00BE6872"/>
    <w:rsid w:val="00BE70CE"/>
    <w:rsid w:val="00BE7A9F"/>
    <w:rsid w:val="00BE7AAE"/>
    <w:rsid w:val="00BF103C"/>
    <w:rsid w:val="00BF13F3"/>
    <w:rsid w:val="00BF2083"/>
    <w:rsid w:val="00BF2743"/>
    <w:rsid w:val="00BF30D5"/>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1027"/>
    <w:rsid w:val="00C1123D"/>
    <w:rsid w:val="00C142BB"/>
    <w:rsid w:val="00C15A78"/>
    <w:rsid w:val="00C15AD4"/>
    <w:rsid w:val="00C15F9B"/>
    <w:rsid w:val="00C1665D"/>
    <w:rsid w:val="00C2100F"/>
    <w:rsid w:val="00C2187B"/>
    <w:rsid w:val="00C22469"/>
    <w:rsid w:val="00C22631"/>
    <w:rsid w:val="00C22686"/>
    <w:rsid w:val="00C22EF0"/>
    <w:rsid w:val="00C2393F"/>
    <w:rsid w:val="00C23DF5"/>
    <w:rsid w:val="00C246BA"/>
    <w:rsid w:val="00C24CC2"/>
    <w:rsid w:val="00C25645"/>
    <w:rsid w:val="00C26B22"/>
    <w:rsid w:val="00C27D0E"/>
    <w:rsid w:val="00C30531"/>
    <w:rsid w:val="00C306B9"/>
    <w:rsid w:val="00C30C46"/>
    <w:rsid w:val="00C310F5"/>
    <w:rsid w:val="00C311F1"/>
    <w:rsid w:val="00C31B14"/>
    <w:rsid w:val="00C31FED"/>
    <w:rsid w:val="00C35D92"/>
    <w:rsid w:val="00C36615"/>
    <w:rsid w:val="00C3704E"/>
    <w:rsid w:val="00C4016B"/>
    <w:rsid w:val="00C41E93"/>
    <w:rsid w:val="00C43231"/>
    <w:rsid w:val="00C44889"/>
    <w:rsid w:val="00C454B6"/>
    <w:rsid w:val="00C455A8"/>
    <w:rsid w:val="00C461FA"/>
    <w:rsid w:val="00C463A6"/>
    <w:rsid w:val="00C46406"/>
    <w:rsid w:val="00C46449"/>
    <w:rsid w:val="00C473A7"/>
    <w:rsid w:val="00C50C94"/>
    <w:rsid w:val="00C512F9"/>
    <w:rsid w:val="00C51A18"/>
    <w:rsid w:val="00C51B76"/>
    <w:rsid w:val="00C5299B"/>
    <w:rsid w:val="00C52FBB"/>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DAB"/>
    <w:rsid w:val="00C8459E"/>
    <w:rsid w:val="00C851EA"/>
    <w:rsid w:val="00C85200"/>
    <w:rsid w:val="00C85B20"/>
    <w:rsid w:val="00C860DE"/>
    <w:rsid w:val="00C86E22"/>
    <w:rsid w:val="00C87F65"/>
    <w:rsid w:val="00C91732"/>
    <w:rsid w:val="00C9173B"/>
    <w:rsid w:val="00C917CD"/>
    <w:rsid w:val="00C9330E"/>
    <w:rsid w:val="00C95A40"/>
    <w:rsid w:val="00C96450"/>
    <w:rsid w:val="00CA04D8"/>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B7BFD"/>
    <w:rsid w:val="00CC0150"/>
    <w:rsid w:val="00CC0545"/>
    <w:rsid w:val="00CC1E32"/>
    <w:rsid w:val="00CC237C"/>
    <w:rsid w:val="00CC2A3A"/>
    <w:rsid w:val="00CC39BD"/>
    <w:rsid w:val="00CC4930"/>
    <w:rsid w:val="00CC4A9D"/>
    <w:rsid w:val="00CC5E3C"/>
    <w:rsid w:val="00CC6C21"/>
    <w:rsid w:val="00CC77CC"/>
    <w:rsid w:val="00CD1E5C"/>
    <w:rsid w:val="00CD2D4F"/>
    <w:rsid w:val="00CD4824"/>
    <w:rsid w:val="00CD49D6"/>
    <w:rsid w:val="00CD4A64"/>
    <w:rsid w:val="00CD4CAA"/>
    <w:rsid w:val="00CD53AA"/>
    <w:rsid w:val="00CD552C"/>
    <w:rsid w:val="00CD7640"/>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6FB"/>
    <w:rsid w:val="00D12038"/>
    <w:rsid w:val="00D12FCE"/>
    <w:rsid w:val="00D1350B"/>
    <w:rsid w:val="00D13594"/>
    <w:rsid w:val="00D1373A"/>
    <w:rsid w:val="00D13939"/>
    <w:rsid w:val="00D13952"/>
    <w:rsid w:val="00D13E17"/>
    <w:rsid w:val="00D14759"/>
    <w:rsid w:val="00D15155"/>
    <w:rsid w:val="00D157DD"/>
    <w:rsid w:val="00D16EA4"/>
    <w:rsid w:val="00D205F6"/>
    <w:rsid w:val="00D22A4D"/>
    <w:rsid w:val="00D22E6E"/>
    <w:rsid w:val="00D2461C"/>
    <w:rsid w:val="00D25F61"/>
    <w:rsid w:val="00D2668D"/>
    <w:rsid w:val="00D27208"/>
    <w:rsid w:val="00D27E1D"/>
    <w:rsid w:val="00D3006E"/>
    <w:rsid w:val="00D31658"/>
    <w:rsid w:val="00D31C22"/>
    <w:rsid w:val="00D31CD6"/>
    <w:rsid w:val="00D32F21"/>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7191"/>
    <w:rsid w:val="00D5014A"/>
    <w:rsid w:val="00D51115"/>
    <w:rsid w:val="00D52550"/>
    <w:rsid w:val="00D55839"/>
    <w:rsid w:val="00D55C9D"/>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7804"/>
    <w:rsid w:val="00D808C0"/>
    <w:rsid w:val="00D81296"/>
    <w:rsid w:val="00D81E6E"/>
    <w:rsid w:val="00D823F6"/>
    <w:rsid w:val="00D82C47"/>
    <w:rsid w:val="00D838DB"/>
    <w:rsid w:val="00D84F9D"/>
    <w:rsid w:val="00D85BC1"/>
    <w:rsid w:val="00D85CDB"/>
    <w:rsid w:val="00D861AF"/>
    <w:rsid w:val="00D86669"/>
    <w:rsid w:val="00D86F5C"/>
    <w:rsid w:val="00D90277"/>
    <w:rsid w:val="00D918DA"/>
    <w:rsid w:val="00D93444"/>
    <w:rsid w:val="00D93E2D"/>
    <w:rsid w:val="00D95F7E"/>
    <w:rsid w:val="00D96169"/>
    <w:rsid w:val="00D96719"/>
    <w:rsid w:val="00D96B2A"/>
    <w:rsid w:val="00DA056E"/>
    <w:rsid w:val="00DA0CB2"/>
    <w:rsid w:val="00DA1F25"/>
    <w:rsid w:val="00DA22BE"/>
    <w:rsid w:val="00DA40B8"/>
    <w:rsid w:val="00DA4487"/>
    <w:rsid w:val="00DA4981"/>
    <w:rsid w:val="00DA4E45"/>
    <w:rsid w:val="00DA5473"/>
    <w:rsid w:val="00DA5BBD"/>
    <w:rsid w:val="00DA5BCE"/>
    <w:rsid w:val="00DA70AE"/>
    <w:rsid w:val="00DA7D70"/>
    <w:rsid w:val="00DA7DA7"/>
    <w:rsid w:val="00DB004F"/>
    <w:rsid w:val="00DB052F"/>
    <w:rsid w:val="00DB53E5"/>
    <w:rsid w:val="00DB6DB2"/>
    <w:rsid w:val="00DB7351"/>
    <w:rsid w:val="00DB7F86"/>
    <w:rsid w:val="00DC0CD9"/>
    <w:rsid w:val="00DC1C0E"/>
    <w:rsid w:val="00DC1C72"/>
    <w:rsid w:val="00DC2545"/>
    <w:rsid w:val="00DC258D"/>
    <w:rsid w:val="00DC35D1"/>
    <w:rsid w:val="00DC41C9"/>
    <w:rsid w:val="00DC461B"/>
    <w:rsid w:val="00DC5397"/>
    <w:rsid w:val="00DC5933"/>
    <w:rsid w:val="00DC6204"/>
    <w:rsid w:val="00DC6844"/>
    <w:rsid w:val="00DC688A"/>
    <w:rsid w:val="00DC68AC"/>
    <w:rsid w:val="00DC7BD3"/>
    <w:rsid w:val="00DD0889"/>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6C2"/>
    <w:rsid w:val="00DF5D4B"/>
    <w:rsid w:val="00DF682A"/>
    <w:rsid w:val="00DF7478"/>
    <w:rsid w:val="00E00039"/>
    <w:rsid w:val="00E0161B"/>
    <w:rsid w:val="00E018BC"/>
    <w:rsid w:val="00E037F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CDA"/>
    <w:rsid w:val="00E2146E"/>
    <w:rsid w:val="00E21BB9"/>
    <w:rsid w:val="00E21E85"/>
    <w:rsid w:val="00E22344"/>
    <w:rsid w:val="00E224F2"/>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451D"/>
    <w:rsid w:val="00E35751"/>
    <w:rsid w:val="00E37592"/>
    <w:rsid w:val="00E41630"/>
    <w:rsid w:val="00E41817"/>
    <w:rsid w:val="00E42841"/>
    <w:rsid w:val="00E42C3E"/>
    <w:rsid w:val="00E457F1"/>
    <w:rsid w:val="00E473DA"/>
    <w:rsid w:val="00E47AE7"/>
    <w:rsid w:val="00E50D64"/>
    <w:rsid w:val="00E51A28"/>
    <w:rsid w:val="00E5295B"/>
    <w:rsid w:val="00E5374F"/>
    <w:rsid w:val="00E5400D"/>
    <w:rsid w:val="00E550F1"/>
    <w:rsid w:val="00E554CD"/>
    <w:rsid w:val="00E55F16"/>
    <w:rsid w:val="00E55FBF"/>
    <w:rsid w:val="00E5645A"/>
    <w:rsid w:val="00E56578"/>
    <w:rsid w:val="00E56BB1"/>
    <w:rsid w:val="00E57666"/>
    <w:rsid w:val="00E608FB"/>
    <w:rsid w:val="00E609DE"/>
    <w:rsid w:val="00E6111F"/>
    <w:rsid w:val="00E61B87"/>
    <w:rsid w:val="00E62181"/>
    <w:rsid w:val="00E62CF1"/>
    <w:rsid w:val="00E62FAB"/>
    <w:rsid w:val="00E63B8E"/>
    <w:rsid w:val="00E63BF1"/>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740D"/>
    <w:rsid w:val="00EA7A27"/>
    <w:rsid w:val="00EA7BCC"/>
    <w:rsid w:val="00EA7E4B"/>
    <w:rsid w:val="00EB0C75"/>
    <w:rsid w:val="00EB1866"/>
    <w:rsid w:val="00EB1D0B"/>
    <w:rsid w:val="00EB1D3D"/>
    <w:rsid w:val="00EB1F35"/>
    <w:rsid w:val="00EB22B2"/>
    <w:rsid w:val="00EB2FD5"/>
    <w:rsid w:val="00EB4707"/>
    <w:rsid w:val="00EB4C6B"/>
    <w:rsid w:val="00EB6C7E"/>
    <w:rsid w:val="00EB7DF6"/>
    <w:rsid w:val="00EC0905"/>
    <w:rsid w:val="00EC2BCA"/>
    <w:rsid w:val="00EC44BD"/>
    <w:rsid w:val="00EC4D56"/>
    <w:rsid w:val="00EC6A10"/>
    <w:rsid w:val="00ED1CED"/>
    <w:rsid w:val="00ED2A6B"/>
    <w:rsid w:val="00ED3089"/>
    <w:rsid w:val="00ED3236"/>
    <w:rsid w:val="00ED32C8"/>
    <w:rsid w:val="00ED3ACC"/>
    <w:rsid w:val="00ED3DD0"/>
    <w:rsid w:val="00ED4AD5"/>
    <w:rsid w:val="00ED56F8"/>
    <w:rsid w:val="00ED5BBF"/>
    <w:rsid w:val="00ED6875"/>
    <w:rsid w:val="00ED6F50"/>
    <w:rsid w:val="00EE0F6B"/>
    <w:rsid w:val="00EE2565"/>
    <w:rsid w:val="00EE33B1"/>
    <w:rsid w:val="00EE509A"/>
    <w:rsid w:val="00EE5827"/>
    <w:rsid w:val="00EE6A18"/>
    <w:rsid w:val="00EE6FCC"/>
    <w:rsid w:val="00EE7BEB"/>
    <w:rsid w:val="00EE7CC7"/>
    <w:rsid w:val="00EF13E0"/>
    <w:rsid w:val="00EF2415"/>
    <w:rsid w:val="00EF2B54"/>
    <w:rsid w:val="00EF2D2A"/>
    <w:rsid w:val="00EF2E67"/>
    <w:rsid w:val="00EF3A0A"/>
    <w:rsid w:val="00EF3DA2"/>
    <w:rsid w:val="00EF45FB"/>
    <w:rsid w:val="00EF493B"/>
    <w:rsid w:val="00EF5FA8"/>
    <w:rsid w:val="00EF647B"/>
    <w:rsid w:val="00EF74D0"/>
    <w:rsid w:val="00EF770E"/>
    <w:rsid w:val="00EF7D99"/>
    <w:rsid w:val="00EF7F30"/>
    <w:rsid w:val="00F0084B"/>
    <w:rsid w:val="00F011C2"/>
    <w:rsid w:val="00F01E06"/>
    <w:rsid w:val="00F02436"/>
    <w:rsid w:val="00F03781"/>
    <w:rsid w:val="00F03B53"/>
    <w:rsid w:val="00F05282"/>
    <w:rsid w:val="00F05E79"/>
    <w:rsid w:val="00F06F0B"/>
    <w:rsid w:val="00F071BB"/>
    <w:rsid w:val="00F108F8"/>
    <w:rsid w:val="00F109C2"/>
    <w:rsid w:val="00F10CDB"/>
    <w:rsid w:val="00F10DBD"/>
    <w:rsid w:val="00F137BB"/>
    <w:rsid w:val="00F139B4"/>
    <w:rsid w:val="00F14031"/>
    <w:rsid w:val="00F14B39"/>
    <w:rsid w:val="00F14F72"/>
    <w:rsid w:val="00F16606"/>
    <w:rsid w:val="00F167FF"/>
    <w:rsid w:val="00F16BF6"/>
    <w:rsid w:val="00F262BA"/>
    <w:rsid w:val="00F26C7D"/>
    <w:rsid w:val="00F26CAF"/>
    <w:rsid w:val="00F272B2"/>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0DE6"/>
    <w:rsid w:val="00F529AB"/>
    <w:rsid w:val="00F5384F"/>
    <w:rsid w:val="00F54AFD"/>
    <w:rsid w:val="00F54B27"/>
    <w:rsid w:val="00F57A55"/>
    <w:rsid w:val="00F57CB6"/>
    <w:rsid w:val="00F60120"/>
    <w:rsid w:val="00F60F00"/>
    <w:rsid w:val="00F62006"/>
    <w:rsid w:val="00F62F2E"/>
    <w:rsid w:val="00F640D7"/>
    <w:rsid w:val="00F6528F"/>
    <w:rsid w:val="00F65EBA"/>
    <w:rsid w:val="00F66C72"/>
    <w:rsid w:val="00F66FFF"/>
    <w:rsid w:val="00F67073"/>
    <w:rsid w:val="00F675FF"/>
    <w:rsid w:val="00F7060F"/>
    <w:rsid w:val="00F70F81"/>
    <w:rsid w:val="00F74368"/>
    <w:rsid w:val="00F746C1"/>
    <w:rsid w:val="00F76D43"/>
    <w:rsid w:val="00F77319"/>
    <w:rsid w:val="00F77628"/>
    <w:rsid w:val="00F80BD5"/>
    <w:rsid w:val="00F80D66"/>
    <w:rsid w:val="00F80EE7"/>
    <w:rsid w:val="00F81B8F"/>
    <w:rsid w:val="00F81DFD"/>
    <w:rsid w:val="00F82537"/>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A05D4"/>
    <w:rsid w:val="00FA0851"/>
    <w:rsid w:val="00FA0B3D"/>
    <w:rsid w:val="00FA0FE3"/>
    <w:rsid w:val="00FA1D4C"/>
    <w:rsid w:val="00FA2514"/>
    <w:rsid w:val="00FA2A5F"/>
    <w:rsid w:val="00FA3D92"/>
    <w:rsid w:val="00FA4C81"/>
    <w:rsid w:val="00FA52EA"/>
    <w:rsid w:val="00FA6C05"/>
    <w:rsid w:val="00FA6D87"/>
    <w:rsid w:val="00FB25E7"/>
    <w:rsid w:val="00FB28DA"/>
    <w:rsid w:val="00FB3ADF"/>
    <w:rsid w:val="00FB3F0D"/>
    <w:rsid w:val="00FB45E4"/>
    <w:rsid w:val="00FB4ABE"/>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319"/>
    <w:rsid w:val="00FD4FC3"/>
    <w:rsid w:val="00FD5E15"/>
    <w:rsid w:val="00FD6448"/>
    <w:rsid w:val="00FE107E"/>
    <w:rsid w:val="00FE20D5"/>
    <w:rsid w:val="00FE416D"/>
    <w:rsid w:val="00FE4A05"/>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B8AFF693-0960-42AE-95CD-AC6E87AD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4076-8D68-43CA-8F16-45F334C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5860</Words>
  <Characters>32235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38019</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Sandra.Mota</cp:lastModifiedBy>
  <cp:revision>43</cp:revision>
  <cp:lastPrinted>2021-01-07T19:59:00Z</cp:lastPrinted>
  <dcterms:created xsi:type="dcterms:W3CDTF">2021-01-06T22:56:00Z</dcterms:created>
  <dcterms:modified xsi:type="dcterms:W3CDTF">2021-01-07T20:01:00Z</dcterms:modified>
</cp:coreProperties>
</file>