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3C668" w14:textId="77777777" w:rsidR="00FE5C35" w:rsidRPr="00D2098A" w:rsidRDefault="00FE5C35" w:rsidP="006F1E4C">
      <w:pPr>
        <w:jc w:val="left"/>
        <w:rPr>
          <w:rFonts w:asciiTheme="minorHAnsi" w:hAnsiTheme="minorHAnsi"/>
          <w:b/>
          <w:lang w:val="es-MX"/>
        </w:rPr>
      </w:pPr>
      <w:bookmarkStart w:id="0" w:name="_GoBack"/>
      <w:bookmarkEnd w:id="0"/>
    </w:p>
    <w:p w14:paraId="417F5F32" w14:textId="77777777" w:rsidR="00556045" w:rsidRPr="00D2098A" w:rsidRDefault="00F3717A" w:rsidP="00756AF1">
      <w:pPr>
        <w:jc w:val="center"/>
        <w:rPr>
          <w:rFonts w:asciiTheme="minorHAnsi" w:hAnsiTheme="minorHAnsi"/>
          <w:b/>
          <w:sz w:val="24"/>
          <w:szCs w:val="24"/>
          <w:lang w:val="es-MX"/>
        </w:rPr>
      </w:pPr>
      <w:r w:rsidRPr="00D2098A">
        <w:rPr>
          <w:rFonts w:asciiTheme="minorHAnsi" w:hAnsiTheme="minorHAnsi"/>
          <w:b/>
          <w:sz w:val="24"/>
          <w:szCs w:val="24"/>
          <w:lang w:val="es-MX"/>
        </w:rPr>
        <w:t>CRITERIOS</w:t>
      </w:r>
      <w:r w:rsidR="000E1C29" w:rsidRPr="00D2098A">
        <w:rPr>
          <w:rFonts w:asciiTheme="minorHAnsi" w:hAnsiTheme="minorHAnsi"/>
          <w:b/>
          <w:sz w:val="24"/>
          <w:szCs w:val="24"/>
          <w:lang w:val="es-MX"/>
        </w:rPr>
        <w:t xml:space="preserve"> </w:t>
      </w:r>
      <w:r w:rsidR="002B4C57" w:rsidRPr="00D2098A">
        <w:rPr>
          <w:rFonts w:asciiTheme="minorHAnsi" w:hAnsiTheme="minorHAnsi"/>
          <w:b/>
          <w:sz w:val="24"/>
          <w:szCs w:val="24"/>
          <w:lang w:val="es-MX"/>
        </w:rPr>
        <w:t xml:space="preserve">Y METODOLOGÍA </w:t>
      </w:r>
      <w:r w:rsidR="00756AF1" w:rsidRPr="00D2098A">
        <w:rPr>
          <w:rFonts w:asciiTheme="minorHAnsi" w:hAnsiTheme="minorHAnsi"/>
          <w:b/>
          <w:sz w:val="24"/>
          <w:szCs w:val="24"/>
          <w:lang w:val="es-MX"/>
        </w:rPr>
        <w:t xml:space="preserve">DE EVALUACIÓN PARA </w:t>
      </w:r>
      <w:r w:rsidR="00556045" w:rsidRPr="00D2098A">
        <w:rPr>
          <w:rFonts w:asciiTheme="minorHAnsi" w:hAnsiTheme="minorHAnsi"/>
          <w:b/>
          <w:sz w:val="24"/>
          <w:szCs w:val="24"/>
          <w:lang w:val="es-MX"/>
        </w:rPr>
        <w:t xml:space="preserve">LA ENTREGA DE RECONOCIMIENTOS </w:t>
      </w:r>
      <w:r w:rsidR="00756AF1" w:rsidRPr="00D2098A">
        <w:rPr>
          <w:rFonts w:asciiTheme="minorHAnsi" w:hAnsiTheme="minorHAnsi"/>
          <w:b/>
          <w:sz w:val="24"/>
          <w:szCs w:val="24"/>
          <w:lang w:val="es-MX"/>
        </w:rPr>
        <w:t>A LAS</w:t>
      </w:r>
      <w:r w:rsidR="00875F54" w:rsidRPr="00D2098A">
        <w:rPr>
          <w:rFonts w:asciiTheme="minorHAnsi" w:hAnsiTheme="minorHAnsi"/>
          <w:b/>
          <w:sz w:val="24"/>
          <w:szCs w:val="24"/>
          <w:lang w:val="es-MX"/>
        </w:rPr>
        <w:t xml:space="preserve"> </w:t>
      </w:r>
      <w:r w:rsidR="00756AF1" w:rsidRPr="00D2098A">
        <w:rPr>
          <w:rFonts w:asciiTheme="minorHAnsi" w:hAnsiTheme="minorHAnsi"/>
          <w:b/>
          <w:sz w:val="24"/>
          <w:szCs w:val="24"/>
          <w:lang w:val="es-MX"/>
        </w:rPr>
        <w:t>“</w:t>
      </w:r>
      <w:r w:rsidR="00556045" w:rsidRPr="00D2098A">
        <w:rPr>
          <w:rFonts w:asciiTheme="minorHAnsi" w:hAnsiTheme="minorHAnsi"/>
          <w:b/>
          <w:sz w:val="24"/>
          <w:szCs w:val="24"/>
          <w:lang w:val="es-MX"/>
        </w:rPr>
        <w:t>MEJORES PRÁCTICAS DE TRANSPA</w:t>
      </w:r>
      <w:r w:rsidR="00E332B0" w:rsidRPr="00D2098A">
        <w:rPr>
          <w:rFonts w:asciiTheme="minorHAnsi" w:hAnsiTheme="minorHAnsi"/>
          <w:b/>
          <w:sz w:val="24"/>
          <w:szCs w:val="24"/>
          <w:lang w:val="es-MX"/>
        </w:rPr>
        <w:t>RENCIA 20</w:t>
      </w:r>
      <w:r w:rsidR="007C6A20" w:rsidRPr="00D2098A">
        <w:rPr>
          <w:rFonts w:asciiTheme="minorHAnsi" w:hAnsiTheme="minorHAnsi"/>
          <w:b/>
          <w:sz w:val="24"/>
          <w:szCs w:val="24"/>
          <w:lang w:val="es-MX"/>
        </w:rPr>
        <w:t>1</w:t>
      </w:r>
      <w:r w:rsidR="008E6DAA" w:rsidRPr="00D2098A">
        <w:rPr>
          <w:rFonts w:asciiTheme="minorHAnsi" w:hAnsiTheme="minorHAnsi"/>
          <w:b/>
          <w:sz w:val="24"/>
          <w:szCs w:val="24"/>
          <w:lang w:val="es-MX"/>
        </w:rPr>
        <w:t>4</w:t>
      </w:r>
      <w:r w:rsidR="00756AF1" w:rsidRPr="00D2098A">
        <w:rPr>
          <w:rFonts w:asciiTheme="minorHAnsi" w:hAnsiTheme="minorHAnsi"/>
          <w:b/>
          <w:sz w:val="24"/>
          <w:szCs w:val="24"/>
          <w:lang w:val="es-MX"/>
        </w:rPr>
        <w:t>"</w:t>
      </w:r>
    </w:p>
    <w:p w14:paraId="4E73CBB8" w14:textId="77777777" w:rsidR="00556045" w:rsidRPr="00D2098A" w:rsidRDefault="00556045" w:rsidP="000F5B03">
      <w:pPr>
        <w:tabs>
          <w:tab w:val="left" w:pos="5588"/>
        </w:tabs>
        <w:rPr>
          <w:rFonts w:asciiTheme="minorHAnsi" w:hAnsiTheme="minorHAnsi"/>
          <w:lang w:val="es-MX"/>
        </w:rPr>
      </w:pPr>
    </w:p>
    <w:p w14:paraId="4B5B216B" w14:textId="77777777" w:rsidR="00FE5C35" w:rsidRPr="00D2098A" w:rsidRDefault="00FE5C35" w:rsidP="009714E3">
      <w:pPr>
        <w:rPr>
          <w:rFonts w:asciiTheme="minorHAnsi" w:hAnsiTheme="minorHAnsi"/>
          <w:lang w:val="es-MX"/>
        </w:rPr>
      </w:pPr>
    </w:p>
    <w:p w14:paraId="021DDBF8" w14:textId="77777777" w:rsidR="000E1C29" w:rsidRPr="00D2098A" w:rsidRDefault="00AB7B42" w:rsidP="009714E3">
      <w:pPr>
        <w:rPr>
          <w:rFonts w:asciiTheme="minorHAnsi" w:hAnsiTheme="minorHAnsi" w:cs="Arial"/>
          <w:bCs/>
          <w:lang w:val="es-MX"/>
        </w:rPr>
      </w:pPr>
      <w:r w:rsidRPr="00D2098A">
        <w:rPr>
          <w:rFonts w:asciiTheme="minorHAnsi" w:hAnsiTheme="minorHAnsi" w:cs="Arial"/>
          <w:bCs/>
          <w:lang w:val="es-MX"/>
        </w:rPr>
        <w:t>De acuerdo a</w:t>
      </w:r>
      <w:r w:rsidR="000E1C29" w:rsidRPr="00D2098A">
        <w:rPr>
          <w:rFonts w:asciiTheme="minorHAnsi" w:hAnsiTheme="minorHAnsi" w:cs="Arial"/>
          <w:bCs/>
          <w:lang w:val="es-MX"/>
        </w:rPr>
        <w:t xml:space="preserve">l </w:t>
      </w:r>
      <w:r w:rsidR="00756AF1" w:rsidRPr="00D2098A">
        <w:rPr>
          <w:rFonts w:asciiTheme="minorHAnsi" w:hAnsiTheme="minorHAnsi" w:cs="Arial"/>
          <w:bCs/>
          <w:lang w:val="es-MX"/>
        </w:rPr>
        <w:t>P</w:t>
      </w:r>
      <w:r w:rsidR="000E1C29" w:rsidRPr="00D2098A">
        <w:rPr>
          <w:rFonts w:asciiTheme="minorHAnsi" w:hAnsiTheme="minorHAnsi" w:cs="Arial"/>
          <w:bCs/>
          <w:lang w:val="es-MX"/>
        </w:rPr>
        <w:t xml:space="preserve">rograma </w:t>
      </w:r>
      <w:r w:rsidR="00756AF1" w:rsidRPr="00D2098A">
        <w:rPr>
          <w:rFonts w:asciiTheme="minorHAnsi" w:hAnsiTheme="minorHAnsi" w:cs="Arial"/>
          <w:bCs/>
          <w:lang w:val="es-MX"/>
        </w:rPr>
        <w:t>Operativo Anual 20</w:t>
      </w:r>
      <w:r w:rsidR="007C6A20" w:rsidRPr="00D2098A">
        <w:rPr>
          <w:rFonts w:asciiTheme="minorHAnsi" w:hAnsiTheme="minorHAnsi" w:cs="Arial"/>
          <w:bCs/>
          <w:lang w:val="es-MX"/>
        </w:rPr>
        <w:t>1</w:t>
      </w:r>
      <w:r w:rsidR="008E6DAA" w:rsidRPr="00D2098A">
        <w:rPr>
          <w:rFonts w:asciiTheme="minorHAnsi" w:hAnsiTheme="minorHAnsi" w:cs="Arial"/>
          <w:bCs/>
          <w:lang w:val="es-MX"/>
        </w:rPr>
        <w:t>4</w:t>
      </w:r>
      <w:r w:rsidR="00756AF1" w:rsidRPr="00D2098A">
        <w:rPr>
          <w:rFonts w:asciiTheme="minorHAnsi" w:hAnsiTheme="minorHAnsi" w:cs="Arial"/>
          <w:bCs/>
          <w:lang w:val="es-MX"/>
        </w:rPr>
        <w:t xml:space="preserve"> </w:t>
      </w:r>
      <w:r w:rsidR="000E1C29" w:rsidRPr="00D2098A">
        <w:rPr>
          <w:rFonts w:asciiTheme="minorHAnsi" w:hAnsiTheme="minorHAnsi" w:cs="Arial"/>
          <w:bCs/>
          <w:lang w:val="es-MX"/>
        </w:rPr>
        <w:t xml:space="preserve">del Instituto de Acceso a la Información Pública </w:t>
      </w:r>
      <w:r w:rsidR="00FE4617" w:rsidRPr="00D2098A">
        <w:rPr>
          <w:rFonts w:asciiTheme="minorHAnsi" w:hAnsiTheme="minorHAnsi" w:cs="Arial"/>
          <w:bCs/>
          <w:lang w:val="es-MX"/>
        </w:rPr>
        <w:t xml:space="preserve">y Protección de Datos Personales </w:t>
      </w:r>
      <w:r w:rsidR="000E1C29" w:rsidRPr="00D2098A">
        <w:rPr>
          <w:rFonts w:asciiTheme="minorHAnsi" w:hAnsiTheme="minorHAnsi" w:cs="Arial"/>
          <w:bCs/>
          <w:lang w:val="es-MX"/>
        </w:rPr>
        <w:t>del Distrito Federal (</w:t>
      </w:r>
      <w:r w:rsidR="00F3717A" w:rsidRPr="00D2098A">
        <w:rPr>
          <w:rFonts w:asciiTheme="minorHAnsi" w:hAnsiTheme="minorHAnsi" w:cs="Arial"/>
          <w:bCs/>
          <w:lang w:val="es-MX"/>
        </w:rPr>
        <w:t>Info</w:t>
      </w:r>
      <w:r w:rsidR="00FE4617" w:rsidRPr="00D2098A">
        <w:rPr>
          <w:rFonts w:asciiTheme="minorHAnsi" w:hAnsiTheme="minorHAnsi" w:cs="Arial"/>
          <w:bCs/>
          <w:lang w:val="es-MX"/>
        </w:rPr>
        <w:t>DF</w:t>
      </w:r>
      <w:r w:rsidR="000E1C29" w:rsidRPr="00D2098A">
        <w:rPr>
          <w:rFonts w:asciiTheme="minorHAnsi" w:hAnsiTheme="minorHAnsi" w:cs="Arial"/>
          <w:bCs/>
          <w:lang w:val="es-MX"/>
        </w:rPr>
        <w:t xml:space="preserve">), </w:t>
      </w:r>
      <w:r w:rsidR="007C48BD" w:rsidRPr="00D2098A">
        <w:rPr>
          <w:rFonts w:asciiTheme="minorHAnsi" w:hAnsiTheme="minorHAnsi" w:cs="Arial"/>
          <w:bCs/>
          <w:lang w:val="es-MX"/>
        </w:rPr>
        <w:t>en el rubro de e</w:t>
      </w:r>
      <w:r w:rsidR="000E1C29" w:rsidRPr="00D2098A">
        <w:rPr>
          <w:rFonts w:asciiTheme="minorHAnsi" w:hAnsiTheme="minorHAnsi" w:cs="Arial"/>
          <w:bCs/>
          <w:lang w:val="es-MX"/>
        </w:rPr>
        <w:t>ntrega</w:t>
      </w:r>
      <w:r w:rsidR="006D6AFB" w:rsidRPr="00D2098A">
        <w:rPr>
          <w:rFonts w:asciiTheme="minorHAnsi" w:hAnsiTheme="minorHAnsi" w:cs="Arial"/>
          <w:bCs/>
          <w:lang w:val="es-MX"/>
        </w:rPr>
        <w:t xml:space="preserve"> de reconocimientos a los </w:t>
      </w:r>
      <w:r w:rsidR="00DB3D7A" w:rsidRPr="00D2098A">
        <w:rPr>
          <w:rFonts w:asciiTheme="minorHAnsi" w:hAnsiTheme="minorHAnsi" w:cs="Arial"/>
          <w:bCs/>
          <w:lang w:val="es-MX"/>
        </w:rPr>
        <w:t>Entes O</w:t>
      </w:r>
      <w:r w:rsidR="00756AF1" w:rsidRPr="00D2098A">
        <w:rPr>
          <w:rFonts w:asciiTheme="minorHAnsi" w:hAnsiTheme="minorHAnsi" w:cs="Arial"/>
          <w:bCs/>
          <w:lang w:val="es-MX"/>
        </w:rPr>
        <w:t xml:space="preserve">bligados </w:t>
      </w:r>
      <w:r w:rsidR="006D6AFB" w:rsidRPr="00D2098A">
        <w:rPr>
          <w:rFonts w:asciiTheme="minorHAnsi" w:hAnsiTheme="minorHAnsi" w:cs="Arial"/>
          <w:bCs/>
          <w:lang w:val="es-MX"/>
        </w:rPr>
        <w:t>que se disting</w:t>
      </w:r>
      <w:r w:rsidRPr="00D2098A">
        <w:rPr>
          <w:rFonts w:asciiTheme="minorHAnsi" w:hAnsiTheme="minorHAnsi" w:cs="Arial"/>
          <w:bCs/>
          <w:lang w:val="es-MX"/>
        </w:rPr>
        <w:t xml:space="preserve">an </w:t>
      </w:r>
      <w:r w:rsidR="006D6AFB" w:rsidRPr="00D2098A">
        <w:rPr>
          <w:rFonts w:asciiTheme="minorHAnsi" w:hAnsiTheme="minorHAnsi" w:cs="Arial"/>
          <w:bCs/>
          <w:lang w:val="es-MX"/>
        </w:rPr>
        <w:t xml:space="preserve">con las </w:t>
      </w:r>
      <w:r w:rsidR="006D6AFB" w:rsidRPr="00D2098A">
        <w:rPr>
          <w:rFonts w:asciiTheme="minorHAnsi" w:hAnsiTheme="minorHAnsi" w:cs="Arial"/>
          <w:bCs/>
          <w:i/>
          <w:lang w:val="es-MX"/>
        </w:rPr>
        <w:t xml:space="preserve">Mejores Prácticas </w:t>
      </w:r>
      <w:r w:rsidRPr="00D2098A">
        <w:rPr>
          <w:rFonts w:asciiTheme="minorHAnsi" w:hAnsiTheme="minorHAnsi" w:cs="Arial"/>
          <w:bCs/>
          <w:lang w:val="es-MX"/>
        </w:rPr>
        <w:t xml:space="preserve">en el </w:t>
      </w:r>
      <w:r w:rsidRPr="00D2098A">
        <w:rPr>
          <w:rFonts w:asciiTheme="minorHAnsi" w:hAnsiTheme="minorHAnsi"/>
        </w:rPr>
        <w:t xml:space="preserve">cumplimiento de la Ley de Transparencia y Acceso a la Información Pública del Distrito Federal (LTAIPDF) </w:t>
      </w:r>
      <w:r w:rsidR="007C48BD" w:rsidRPr="00D2098A">
        <w:rPr>
          <w:rFonts w:asciiTheme="minorHAnsi" w:hAnsiTheme="minorHAnsi" w:cs="Arial"/>
          <w:bCs/>
          <w:lang w:val="es-MX"/>
        </w:rPr>
        <w:t>durante el ejercicio 20</w:t>
      </w:r>
      <w:r w:rsidR="00C23BAE" w:rsidRPr="00D2098A">
        <w:rPr>
          <w:rFonts w:asciiTheme="minorHAnsi" w:hAnsiTheme="minorHAnsi" w:cs="Arial"/>
          <w:bCs/>
          <w:lang w:val="es-MX"/>
        </w:rPr>
        <w:t>1</w:t>
      </w:r>
      <w:r w:rsidR="008E6DAA" w:rsidRPr="00D2098A">
        <w:rPr>
          <w:rFonts w:asciiTheme="minorHAnsi" w:hAnsiTheme="minorHAnsi" w:cs="Arial"/>
          <w:bCs/>
          <w:lang w:val="es-MX"/>
        </w:rPr>
        <w:t>4</w:t>
      </w:r>
      <w:r w:rsidR="006D6AFB" w:rsidRPr="00D2098A">
        <w:rPr>
          <w:rFonts w:asciiTheme="minorHAnsi" w:hAnsiTheme="minorHAnsi" w:cs="Arial"/>
          <w:bCs/>
          <w:lang w:val="es-MX"/>
        </w:rPr>
        <w:t xml:space="preserve">, </w:t>
      </w:r>
      <w:r w:rsidR="00C96189" w:rsidRPr="00D2098A">
        <w:rPr>
          <w:rFonts w:asciiTheme="minorHAnsi" w:hAnsiTheme="minorHAnsi" w:cs="Arial"/>
          <w:bCs/>
          <w:lang w:val="es-MX"/>
        </w:rPr>
        <w:t xml:space="preserve">se ha dispuesto que </w:t>
      </w:r>
      <w:r w:rsidR="006D6AFB" w:rsidRPr="00D2098A">
        <w:rPr>
          <w:rFonts w:asciiTheme="minorHAnsi" w:hAnsiTheme="minorHAnsi" w:cs="Arial"/>
          <w:bCs/>
          <w:lang w:val="es-MX"/>
        </w:rPr>
        <w:t>la Dirección de Eval</w:t>
      </w:r>
      <w:r w:rsidR="00E34D52" w:rsidRPr="00D2098A">
        <w:rPr>
          <w:rFonts w:asciiTheme="minorHAnsi" w:hAnsiTheme="minorHAnsi" w:cs="Arial"/>
          <w:bCs/>
          <w:lang w:val="es-MX"/>
        </w:rPr>
        <w:t xml:space="preserve">uación y </w:t>
      </w:r>
      <w:r w:rsidR="00E332B0" w:rsidRPr="00D2098A">
        <w:rPr>
          <w:rFonts w:asciiTheme="minorHAnsi" w:hAnsiTheme="minorHAnsi" w:cs="Arial"/>
          <w:bCs/>
          <w:lang w:val="es-MX"/>
        </w:rPr>
        <w:t>Estudios</w:t>
      </w:r>
      <w:r w:rsidR="006D6AFB" w:rsidRPr="00D2098A">
        <w:rPr>
          <w:rFonts w:asciiTheme="minorHAnsi" w:hAnsiTheme="minorHAnsi" w:cs="Arial"/>
          <w:bCs/>
          <w:lang w:val="es-MX"/>
        </w:rPr>
        <w:t xml:space="preserve"> </w:t>
      </w:r>
      <w:r w:rsidR="00C96189" w:rsidRPr="00D2098A">
        <w:rPr>
          <w:rFonts w:asciiTheme="minorHAnsi" w:hAnsiTheme="minorHAnsi" w:cs="Arial"/>
          <w:bCs/>
          <w:lang w:val="es-MX"/>
        </w:rPr>
        <w:t>realice</w:t>
      </w:r>
      <w:r w:rsidR="00221D33" w:rsidRPr="00D2098A">
        <w:rPr>
          <w:rFonts w:asciiTheme="minorHAnsi" w:hAnsiTheme="minorHAnsi" w:cs="Arial"/>
          <w:bCs/>
          <w:lang w:val="es-MX"/>
        </w:rPr>
        <w:t xml:space="preserve"> la valoración respectiva de acuerdo a los siguientes “</w:t>
      </w:r>
      <w:r w:rsidR="006D6AFB" w:rsidRPr="00D2098A">
        <w:rPr>
          <w:rFonts w:asciiTheme="minorHAnsi" w:hAnsiTheme="minorHAnsi" w:cs="Arial"/>
          <w:b/>
          <w:bCs/>
          <w:i/>
          <w:lang w:val="es-MX"/>
        </w:rPr>
        <w:t xml:space="preserve">Criterios </w:t>
      </w:r>
      <w:r w:rsidR="007C48BD" w:rsidRPr="00D2098A">
        <w:rPr>
          <w:rFonts w:asciiTheme="minorHAnsi" w:hAnsiTheme="minorHAnsi" w:cs="Arial"/>
          <w:b/>
          <w:bCs/>
          <w:i/>
          <w:lang w:val="es-MX"/>
        </w:rPr>
        <w:t>y M</w:t>
      </w:r>
      <w:r w:rsidR="00221D33" w:rsidRPr="00D2098A">
        <w:rPr>
          <w:rFonts w:asciiTheme="minorHAnsi" w:hAnsiTheme="minorHAnsi" w:cs="Arial"/>
          <w:b/>
          <w:bCs/>
          <w:i/>
          <w:lang w:val="es-MX"/>
        </w:rPr>
        <w:t>etodología de Evaluación para la E</w:t>
      </w:r>
      <w:r w:rsidR="006D6AFB" w:rsidRPr="00D2098A">
        <w:rPr>
          <w:rFonts w:asciiTheme="minorHAnsi" w:hAnsiTheme="minorHAnsi" w:cs="Arial"/>
          <w:b/>
          <w:bCs/>
          <w:i/>
          <w:lang w:val="es-MX"/>
        </w:rPr>
        <w:t xml:space="preserve">ntrega de </w:t>
      </w:r>
      <w:r w:rsidR="00221D33" w:rsidRPr="00D2098A">
        <w:rPr>
          <w:rFonts w:asciiTheme="minorHAnsi" w:hAnsiTheme="minorHAnsi" w:cs="Arial"/>
          <w:b/>
          <w:bCs/>
          <w:i/>
          <w:lang w:val="es-MX"/>
        </w:rPr>
        <w:t>Reconocimientos a las Mejores Prácticas de Transparencia</w:t>
      </w:r>
      <w:r w:rsidR="00E332B0" w:rsidRPr="00D2098A">
        <w:rPr>
          <w:rFonts w:asciiTheme="minorHAnsi" w:hAnsiTheme="minorHAnsi" w:cs="Arial"/>
          <w:b/>
          <w:bCs/>
          <w:i/>
          <w:lang w:val="es-MX"/>
        </w:rPr>
        <w:t xml:space="preserve"> 20</w:t>
      </w:r>
      <w:r w:rsidR="00FE4617" w:rsidRPr="00D2098A">
        <w:rPr>
          <w:rFonts w:asciiTheme="minorHAnsi" w:hAnsiTheme="minorHAnsi" w:cs="Arial"/>
          <w:b/>
          <w:bCs/>
          <w:i/>
          <w:lang w:val="es-MX"/>
        </w:rPr>
        <w:t>1</w:t>
      </w:r>
      <w:r w:rsidR="008E6DAA" w:rsidRPr="00D2098A">
        <w:rPr>
          <w:rFonts w:asciiTheme="minorHAnsi" w:hAnsiTheme="minorHAnsi" w:cs="Arial"/>
          <w:b/>
          <w:bCs/>
          <w:i/>
          <w:lang w:val="es-MX"/>
        </w:rPr>
        <w:t>4</w:t>
      </w:r>
      <w:r w:rsidR="00221D33" w:rsidRPr="00D2098A">
        <w:rPr>
          <w:rFonts w:asciiTheme="minorHAnsi" w:hAnsiTheme="minorHAnsi" w:cs="Arial"/>
          <w:bCs/>
          <w:lang w:val="es-MX"/>
        </w:rPr>
        <w:t>”</w:t>
      </w:r>
      <w:r w:rsidR="00FA7557" w:rsidRPr="00D2098A">
        <w:rPr>
          <w:rFonts w:asciiTheme="minorHAnsi" w:hAnsiTheme="minorHAnsi" w:cs="Arial"/>
          <w:bCs/>
          <w:lang w:val="es-MX"/>
        </w:rPr>
        <w:t>.</w:t>
      </w:r>
    </w:p>
    <w:p w14:paraId="4E8C6141" w14:textId="77777777" w:rsidR="000E1C29" w:rsidRPr="00D2098A" w:rsidRDefault="000E1C29" w:rsidP="009714E3">
      <w:pPr>
        <w:rPr>
          <w:rFonts w:asciiTheme="minorHAnsi" w:hAnsiTheme="minorHAnsi"/>
          <w:lang w:val="es-MX"/>
        </w:rPr>
      </w:pPr>
    </w:p>
    <w:p w14:paraId="7A7BE23D" w14:textId="77777777" w:rsidR="00F167A3" w:rsidRPr="00D2098A" w:rsidRDefault="00F167A3" w:rsidP="009714E3">
      <w:pPr>
        <w:rPr>
          <w:rFonts w:asciiTheme="minorHAnsi" w:hAnsiTheme="minorHAnsi"/>
          <w:lang w:val="es-MX"/>
        </w:rPr>
      </w:pPr>
    </w:p>
    <w:p w14:paraId="7DA33704" w14:textId="77777777" w:rsidR="005B57A1" w:rsidRPr="00D2098A" w:rsidRDefault="005B57A1" w:rsidP="007E6236">
      <w:pPr>
        <w:pStyle w:val="Prrafodelista"/>
        <w:numPr>
          <w:ilvl w:val="0"/>
          <w:numId w:val="33"/>
        </w:numPr>
        <w:rPr>
          <w:rFonts w:asciiTheme="minorHAnsi" w:hAnsiTheme="minorHAnsi"/>
          <w:b/>
          <w:lang w:val="es-MX"/>
        </w:rPr>
      </w:pPr>
      <w:r w:rsidRPr="00D2098A">
        <w:rPr>
          <w:rFonts w:asciiTheme="minorHAnsi" w:hAnsiTheme="minorHAnsi"/>
          <w:b/>
          <w:lang w:val="es-MX"/>
        </w:rPr>
        <w:t>PARTICIPANTES</w:t>
      </w:r>
    </w:p>
    <w:p w14:paraId="79829434" w14:textId="77777777" w:rsidR="005B57A1" w:rsidRPr="00D2098A" w:rsidRDefault="005B57A1" w:rsidP="009714E3">
      <w:pPr>
        <w:rPr>
          <w:rFonts w:asciiTheme="minorHAnsi" w:hAnsiTheme="minorHAnsi"/>
          <w:lang w:val="es-MX"/>
        </w:rPr>
      </w:pPr>
    </w:p>
    <w:p w14:paraId="217C838E" w14:textId="77777777" w:rsidR="00C8224A" w:rsidRPr="00D2098A" w:rsidRDefault="00C8224A" w:rsidP="00C8224A">
      <w:pPr>
        <w:rPr>
          <w:rFonts w:asciiTheme="minorHAnsi" w:hAnsiTheme="minorHAnsi" w:cs="Calibri"/>
          <w:lang w:val="es-MX"/>
        </w:rPr>
      </w:pPr>
      <w:r w:rsidRPr="00D2098A">
        <w:rPr>
          <w:rFonts w:asciiTheme="minorHAnsi" w:hAnsiTheme="minorHAnsi" w:cs="Calibri"/>
          <w:lang w:val="es-MX"/>
        </w:rPr>
        <w:t xml:space="preserve">En este ejercicio se evaluará a todos los Entes Obligados </w:t>
      </w:r>
      <w:r w:rsidR="00557195" w:rsidRPr="00D2098A">
        <w:rPr>
          <w:rFonts w:asciiTheme="minorHAnsi" w:hAnsiTheme="minorHAnsi" w:cs="Calibri"/>
          <w:lang w:val="es-MX"/>
        </w:rPr>
        <w:t xml:space="preserve">registrados en el </w:t>
      </w:r>
      <w:r w:rsidR="00792E2A" w:rsidRPr="00D2098A">
        <w:rPr>
          <w:rFonts w:asciiTheme="minorHAnsi" w:hAnsiTheme="minorHAnsi" w:cs="Calibri"/>
          <w:lang w:val="es-MX"/>
        </w:rPr>
        <w:t>p</w:t>
      </w:r>
      <w:r w:rsidR="00557195" w:rsidRPr="00D2098A">
        <w:rPr>
          <w:rFonts w:asciiTheme="minorHAnsi" w:hAnsiTheme="minorHAnsi" w:cs="Calibri"/>
          <w:lang w:val="es-MX"/>
        </w:rPr>
        <w:t>adrón vigente de Entes obligados al cumplimiento de la LTAIPDF</w:t>
      </w:r>
      <w:r w:rsidR="005269FC" w:rsidRPr="00D2098A">
        <w:rPr>
          <w:rFonts w:asciiTheme="minorHAnsi" w:hAnsiTheme="minorHAnsi" w:cs="Calibri"/>
          <w:lang w:val="es-MX"/>
        </w:rPr>
        <w:t>. Sin embargo, no se entregarán reconocimientos a aquellos Entes que:</w:t>
      </w:r>
    </w:p>
    <w:p w14:paraId="40CFB162" w14:textId="77777777" w:rsidR="005269FC" w:rsidRPr="00D2098A" w:rsidRDefault="005269FC" w:rsidP="00C8224A">
      <w:pPr>
        <w:rPr>
          <w:rFonts w:asciiTheme="minorHAnsi" w:hAnsiTheme="minorHAnsi" w:cs="Calibri"/>
          <w:lang w:val="es-MX"/>
        </w:rPr>
      </w:pPr>
    </w:p>
    <w:p w14:paraId="7AD4CB6C" w14:textId="77777777" w:rsidR="005269FC" w:rsidRPr="00D2098A" w:rsidRDefault="005269FC" w:rsidP="005269FC">
      <w:pPr>
        <w:numPr>
          <w:ilvl w:val="0"/>
          <w:numId w:val="35"/>
        </w:numPr>
        <w:rPr>
          <w:rFonts w:asciiTheme="minorHAnsi" w:hAnsiTheme="minorHAnsi" w:cs="Calibri"/>
          <w:lang w:val="es-MX"/>
        </w:rPr>
      </w:pPr>
      <w:r w:rsidRPr="00D2098A">
        <w:rPr>
          <w:rFonts w:asciiTheme="minorHAnsi" w:hAnsiTheme="minorHAnsi" w:cs="Calibri"/>
          <w:lang w:val="es-MX"/>
        </w:rPr>
        <w:t>No hayan cumplido con las resoluciones sobre Recursos de Revisión relacionadas con solicitudes de acceso a la información pública, que hayan sido emitidas por el Pleno del InfoDF durante el ejercicio 201</w:t>
      </w:r>
      <w:r w:rsidR="008E6DAA" w:rsidRPr="00D2098A">
        <w:rPr>
          <w:rFonts w:asciiTheme="minorHAnsi" w:hAnsiTheme="minorHAnsi" w:cs="Calibri"/>
          <w:lang w:val="es-MX"/>
        </w:rPr>
        <w:t>4</w:t>
      </w:r>
      <w:r w:rsidRPr="00D2098A">
        <w:rPr>
          <w:rFonts w:asciiTheme="minorHAnsi" w:hAnsiTheme="minorHAnsi" w:cs="Calibri"/>
          <w:lang w:val="es-MX"/>
        </w:rPr>
        <w:t>, y cuya fecha de vencimiento se encuentre dentro del mismo ejercicio, es decir, hasta el 31 de diciembre de 201</w:t>
      </w:r>
      <w:r w:rsidR="008E6DAA" w:rsidRPr="00D2098A">
        <w:rPr>
          <w:rFonts w:asciiTheme="minorHAnsi" w:hAnsiTheme="minorHAnsi" w:cs="Calibri"/>
          <w:lang w:val="es-MX"/>
        </w:rPr>
        <w:t>4</w:t>
      </w:r>
      <w:r w:rsidRPr="00D2098A">
        <w:rPr>
          <w:rFonts w:asciiTheme="minorHAnsi" w:hAnsiTheme="minorHAnsi" w:cs="Calibri"/>
          <w:lang w:val="es-MX"/>
        </w:rPr>
        <w:t>.</w:t>
      </w:r>
    </w:p>
    <w:p w14:paraId="508CF1BC" w14:textId="77777777" w:rsidR="005269FC" w:rsidRPr="00D2098A" w:rsidRDefault="005269FC" w:rsidP="006F1E4C">
      <w:pPr>
        <w:rPr>
          <w:rFonts w:asciiTheme="minorHAnsi" w:hAnsiTheme="minorHAnsi" w:cs="Calibri"/>
          <w:lang w:val="es-MX"/>
        </w:rPr>
      </w:pPr>
    </w:p>
    <w:p w14:paraId="4A228ABE" w14:textId="77777777" w:rsidR="005269FC" w:rsidRPr="00D2098A" w:rsidRDefault="005269FC" w:rsidP="005269FC">
      <w:pPr>
        <w:numPr>
          <w:ilvl w:val="0"/>
          <w:numId w:val="35"/>
        </w:numPr>
        <w:rPr>
          <w:rFonts w:asciiTheme="minorHAnsi" w:hAnsiTheme="minorHAnsi" w:cs="Calibri"/>
          <w:lang w:val="es-MX"/>
        </w:rPr>
      </w:pPr>
      <w:r w:rsidRPr="00D2098A">
        <w:rPr>
          <w:rFonts w:asciiTheme="minorHAnsi" w:hAnsiTheme="minorHAnsi" w:cs="Calibri"/>
          <w:lang w:val="es-MX"/>
        </w:rPr>
        <w:t>No hayan cumplido con cualquier recomendación en materia de transparencia y acceso a la información pública emitida por el Pleno del InfoDF en el ejercicio 201</w:t>
      </w:r>
      <w:r w:rsidR="008E6DAA" w:rsidRPr="00D2098A">
        <w:rPr>
          <w:rFonts w:asciiTheme="minorHAnsi" w:hAnsiTheme="minorHAnsi" w:cs="Calibri"/>
          <w:lang w:val="es-MX"/>
        </w:rPr>
        <w:t>4</w:t>
      </w:r>
      <w:r w:rsidRPr="00D2098A">
        <w:rPr>
          <w:rFonts w:asciiTheme="minorHAnsi" w:hAnsiTheme="minorHAnsi" w:cs="Calibri"/>
          <w:lang w:val="es-MX"/>
        </w:rPr>
        <w:t>, y cuyo plazo de vencimiento se encuentre dentro de este mismo ejercicio.</w:t>
      </w:r>
    </w:p>
    <w:p w14:paraId="2A3185DF" w14:textId="77777777" w:rsidR="005269FC" w:rsidRPr="00D2098A" w:rsidRDefault="005269FC" w:rsidP="00C8224A">
      <w:pPr>
        <w:rPr>
          <w:rFonts w:asciiTheme="minorHAnsi" w:hAnsiTheme="minorHAnsi" w:cs="Calibri"/>
          <w:lang w:val="es-MX"/>
        </w:rPr>
      </w:pPr>
    </w:p>
    <w:p w14:paraId="48E9969A" w14:textId="77777777" w:rsidR="005269FC" w:rsidRPr="00D2098A" w:rsidRDefault="005269FC" w:rsidP="00C8224A">
      <w:pPr>
        <w:rPr>
          <w:rFonts w:asciiTheme="minorHAnsi" w:hAnsiTheme="minorHAnsi" w:cs="Calibri"/>
          <w:lang w:val="es-MX"/>
        </w:rPr>
      </w:pPr>
      <w:r w:rsidRPr="00D2098A">
        <w:rPr>
          <w:rFonts w:asciiTheme="minorHAnsi" w:hAnsiTheme="minorHAnsi" w:cs="Calibri"/>
          <w:lang w:val="es-MX"/>
        </w:rPr>
        <w:t>Tampoco se entregarán reconocimientos a aquellos Entes Obligados que se integraron al Padrón de Entes Obligados durante 201</w:t>
      </w:r>
      <w:r w:rsidR="008E6DAA" w:rsidRPr="00D2098A">
        <w:rPr>
          <w:rFonts w:asciiTheme="minorHAnsi" w:hAnsiTheme="minorHAnsi" w:cs="Calibri"/>
          <w:lang w:val="es-MX"/>
        </w:rPr>
        <w:t>4</w:t>
      </w:r>
      <w:r w:rsidRPr="00D2098A">
        <w:rPr>
          <w:rFonts w:asciiTheme="minorHAnsi" w:hAnsiTheme="minorHAnsi" w:cs="Calibri"/>
          <w:lang w:val="es-MX"/>
        </w:rPr>
        <w:t xml:space="preserve"> que, en el plazo que haya establecido el Pleno del InfoDF, no hayan cumplido con:</w:t>
      </w:r>
    </w:p>
    <w:p w14:paraId="44435C93" w14:textId="77777777" w:rsidR="005269FC" w:rsidRPr="00D2098A" w:rsidRDefault="005269FC" w:rsidP="00C8224A">
      <w:pPr>
        <w:rPr>
          <w:rFonts w:asciiTheme="minorHAnsi" w:hAnsiTheme="minorHAnsi" w:cs="Calibri"/>
          <w:lang w:val="es-MX"/>
        </w:rPr>
      </w:pPr>
    </w:p>
    <w:p w14:paraId="674349F1" w14:textId="77777777" w:rsidR="005269FC" w:rsidRPr="00D2098A" w:rsidRDefault="005269FC" w:rsidP="005269FC">
      <w:pPr>
        <w:numPr>
          <w:ilvl w:val="0"/>
          <w:numId w:val="36"/>
        </w:numPr>
        <w:rPr>
          <w:rFonts w:asciiTheme="minorHAnsi" w:hAnsiTheme="minorHAnsi" w:cs="Calibri"/>
          <w:lang w:val="es-MX"/>
        </w:rPr>
      </w:pPr>
      <w:r w:rsidRPr="00D2098A">
        <w:rPr>
          <w:rFonts w:asciiTheme="minorHAnsi" w:hAnsiTheme="minorHAnsi" w:cs="Calibri"/>
          <w:lang w:val="es-MX"/>
        </w:rPr>
        <w:t>Contar con una Oficina de Información Pública.</w:t>
      </w:r>
    </w:p>
    <w:p w14:paraId="1B789AE3" w14:textId="77777777" w:rsidR="005269FC" w:rsidRPr="00D2098A" w:rsidRDefault="005269FC" w:rsidP="005269FC">
      <w:pPr>
        <w:ind w:left="720"/>
        <w:rPr>
          <w:rFonts w:asciiTheme="minorHAnsi" w:hAnsiTheme="minorHAnsi" w:cs="Calibri"/>
          <w:lang w:val="es-MX"/>
        </w:rPr>
      </w:pPr>
    </w:p>
    <w:p w14:paraId="7CDAC55C" w14:textId="77777777" w:rsidR="00994A62" w:rsidRPr="00D2098A" w:rsidRDefault="00994A62" w:rsidP="005269FC">
      <w:pPr>
        <w:numPr>
          <w:ilvl w:val="0"/>
          <w:numId w:val="36"/>
        </w:numPr>
        <w:rPr>
          <w:rFonts w:asciiTheme="minorHAnsi" w:hAnsiTheme="minorHAnsi" w:cs="Calibri"/>
          <w:lang w:val="es-MX"/>
        </w:rPr>
      </w:pPr>
      <w:r w:rsidRPr="00D2098A">
        <w:rPr>
          <w:rFonts w:asciiTheme="minorHAnsi" w:hAnsiTheme="minorHAnsi" w:cs="Calibri"/>
          <w:lang w:val="es-MX"/>
        </w:rPr>
        <w:t>Notifica</w:t>
      </w:r>
      <w:r w:rsidR="00493FC5" w:rsidRPr="00D2098A">
        <w:rPr>
          <w:rFonts w:asciiTheme="minorHAnsi" w:hAnsiTheme="minorHAnsi" w:cs="Calibri"/>
          <w:lang w:val="es-MX"/>
        </w:rPr>
        <w:t>r</w:t>
      </w:r>
      <w:r w:rsidRPr="00D2098A">
        <w:rPr>
          <w:rFonts w:asciiTheme="minorHAnsi" w:hAnsiTheme="minorHAnsi" w:cs="Calibri"/>
          <w:lang w:val="es-MX"/>
        </w:rPr>
        <w:t xml:space="preserve"> </w:t>
      </w:r>
      <w:r w:rsidR="00493FC5" w:rsidRPr="00D2098A">
        <w:rPr>
          <w:rFonts w:asciiTheme="minorHAnsi" w:hAnsiTheme="minorHAnsi" w:cs="Calibri"/>
          <w:lang w:val="es-MX"/>
        </w:rPr>
        <w:t xml:space="preserve">oficialmente </w:t>
      </w:r>
      <w:r w:rsidR="00620239" w:rsidRPr="00D2098A">
        <w:rPr>
          <w:rFonts w:asciiTheme="minorHAnsi" w:hAnsiTheme="minorHAnsi" w:cs="Calibri"/>
          <w:lang w:val="es-MX"/>
        </w:rPr>
        <w:t xml:space="preserve">al InfoDF </w:t>
      </w:r>
      <w:r w:rsidR="00493FC5" w:rsidRPr="00D2098A">
        <w:rPr>
          <w:rFonts w:asciiTheme="minorHAnsi" w:hAnsiTheme="minorHAnsi" w:cs="Calibri"/>
          <w:lang w:val="es-MX"/>
        </w:rPr>
        <w:t xml:space="preserve">el nombre del </w:t>
      </w:r>
      <w:r w:rsidR="00620239" w:rsidRPr="00D2098A">
        <w:rPr>
          <w:rFonts w:asciiTheme="minorHAnsi" w:hAnsiTheme="minorHAnsi" w:cs="Calibri"/>
          <w:lang w:val="es-MX"/>
        </w:rPr>
        <w:t xml:space="preserve">Responsable de la </w:t>
      </w:r>
      <w:r w:rsidRPr="00D2098A">
        <w:rPr>
          <w:rFonts w:asciiTheme="minorHAnsi" w:hAnsiTheme="minorHAnsi" w:cs="Calibri"/>
          <w:lang w:val="es-MX"/>
        </w:rPr>
        <w:t>OIP</w:t>
      </w:r>
      <w:r w:rsidR="00620239" w:rsidRPr="00D2098A">
        <w:rPr>
          <w:rFonts w:asciiTheme="minorHAnsi" w:hAnsiTheme="minorHAnsi" w:cs="Calibri"/>
          <w:lang w:val="es-MX"/>
        </w:rPr>
        <w:t>.</w:t>
      </w:r>
    </w:p>
    <w:p w14:paraId="6FD264E3" w14:textId="77777777" w:rsidR="00994A62" w:rsidRPr="00D2098A" w:rsidRDefault="00994A62" w:rsidP="00994A62">
      <w:pPr>
        <w:pStyle w:val="Prrafodelista"/>
        <w:rPr>
          <w:rFonts w:asciiTheme="minorHAnsi" w:hAnsiTheme="minorHAnsi" w:cs="Calibri"/>
          <w:lang w:val="es-MX"/>
        </w:rPr>
      </w:pPr>
    </w:p>
    <w:p w14:paraId="75754C14" w14:textId="77777777" w:rsidR="005269FC" w:rsidRPr="00D2098A" w:rsidRDefault="00620239" w:rsidP="005269FC">
      <w:pPr>
        <w:numPr>
          <w:ilvl w:val="0"/>
          <w:numId w:val="36"/>
        </w:numPr>
        <w:rPr>
          <w:rFonts w:asciiTheme="minorHAnsi" w:hAnsiTheme="minorHAnsi" w:cs="Calibri"/>
          <w:lang w:val="es-MX"/>
        </w:rPr>
      </w:pPr>
      <w:r w:rsidRPr="00D2098A">
        <w:rPr>
          <w:rFonts w:asciiTheme="minorHAnsi" w:hAnsiTheme="minorHAnsi" w:cs="Calibri"/>
          <w:lang w:val="es-MX"/>
        </w:rPr>
        <w:t>R</w:t>
      </w:r>
      <w:r w:rsidR="005269FC" w:rsidRPr="00D2098A">
        <w:rPr>
          <w:rFonts w:asciiTheme="minorHAnsi" w:hAnsiTheme="minorHAnsi" w:cs="Calibri"/>
          <w:lang w:val="es-MX"/>
        </w:rPr>
        <w:t xml:space="preserve">egistro </w:t>
      </w:r>
      <w:r w:rsidR="00A61E5F" w:rsidRPr="00D2098A">
        <w:rPr>
          <w:rFonts w:asciiTheme="minorHAnsi" w:hAnsiTheme="minorHAnsi" w:cs="Calibri"/>
          <w:lang w:val="es-MX"/>
        </w:rPr>
        <w:t xml:space="preserve">y alta </w:t>
      </w:r>
      <w:r w:rsidR="005269FC" w:rsidRPr="00D2098A">
        <w:rPr>
          <w:rFonts w:asciiTheme="minorHAnsi" w:hAnsiTheme="minorHAnsi" w:cs="Calibri"/>
          <w:lang w:val="es-MX"/>
        </w:rPr>
        <w:t>en el sistema INFOMEX.</w:t>
      </w:r>
    </w:p>
    <w:p w14:paraId="2FF47F99" w14:textId="77777777" w:rsidR="00601D94" w:rsidRPr="00D2098A" w:rsidRDefault="00601D94" w:rsidP="00601D94">
      <w:pPr>
        <w:pStyle w:val="Prrafodelista"/>
        <w:rPr>
          <w:rFonts w:asciiTheme="minorHAnsi" w:hAnsiTheme="minorHAnsi" w:cs="Calibri"/>
          <w:lang w:val="es-MX"/>
        </w:rPr>
      </w:pPr>
    </w:p>
    <w:p w14:paraId="51CFCC73" w14:textId="77777777" w:rsidR="00601D94" w:rsidRPr="00D2098A" w:rsidRDefault="00601D94" w:rsidP="005269FC">
      <w:pPr>
        <w:numPr>
          <w:ilvl w:val="0"/>
          <w:numId w:val="36"/>
        </w:numPr>
        <w:rPr>
          <w:rFonts w:asciiTheme="minorHAnsi" w:hAnsiTheme="minorHAnsi" w:cs="Calibri"/>
          <w:lang w:val="es-MX"/>
        </w:rPr>
      </w:pPr>
      <w:r w:rsidRPr="00D2098A">
        <w:rPr>
          <w:rFonts w:asciiTheme="minorHAnsi" w:hAnsiTheme="minorHAnsi"/>
          <w:lang w:val="es-MX"/>
        </w:rPr>
        <w:t>Registro y alta en el SICRESI.</w:t>
      </w:r>
    </w:p>
    <w:p w14:paraId="2BE336A3" w14:textId="77777777" w:rsidR="005269FC" w:rsidRPr="00D2098A" w:rsidRDefault="005269FC" w:rsidP="005269FC">
      <w:pPr>
        <w:ind w:left="720"/>
        <w:rPr>
          <w:rFonts w:asciiTheme="minorHAnsi" w:hAnsiTheme="minorHAnsi" w:cs="Calibri"/>
          <w:lang w:val="es-MX"/>
        </w:rPr>
      </w:pPr>
    </w:p>
    <w:p w14:paraId="46B3E368" w14:textId="77777777" w:rsidR="005269FC" w:rsidRPr="00D2098A" w:rsidRDefault="005269FC" w:rsidP="005269FC">
      <w:pPr>
        <w:numPr>
          <w:ilvl w:val="0"/>
          <w:numId w:val="36"/>
        </w:numPr>
        <w:rPr>
          <w:rFonts w:asciiTheme="minorHAnsi" w:hAnsiTheme="minorHAnsi" w:cs="Calibri"/>
          <w:lang w:val="es-MX"/>
        </w:rPr>
      </w:pPr>
      <w:r w:rsidRPr="00D2098A">
        <w:rPr>
          <w:rFonts w:asciiTheme="minorHAnsi" w:hAnsiTheme="minorHAnsi" w:cs="Calibri"/>
          <w:lang w:val="es-MX"/>
        </w:rPr>
        <w:t>El registro de su Comité de Transparencia ante el InfoDF.</w:t>
      </w:r>
    </w:p>
    <w:p w14:paraId="7E27DE99" w14:textId="77777777" w:rsidR="00601D94" w:rsidRPr="00D2098A" w:rsidRDefault="00601D94" w:rsidP="00601D94">
      <w:pPr>
        <w:pStyle w:val="Prrafodelista"/>
        <w:rPr>
          <w:rFonts w:asciiTheme="minorHAnsi" w:hAnsiTheme="minorHAnsi" w:cs="Calibri"/>
          <w:lang w:val="es-MX"/>
        </w:rPr>
      </w:pPr>
    </w:p>
    <w:p w14:paraId="5A93A145" w14:textId="77777777" w:rsidR="00601D94" w:rsidRPr="00D2098A" w:rsidRDefault="00601D94" w:rsidP="00601D94">
      <w:pPr>
        <w:pStyle w:val="Prrafodelista"/>
        <w:numPr>
          <w:ilvl w:val="0"/>
          <w:numId w:val="36"/>
        </w:numPr>
        <w:spacing w:after="120"/>
        <w:contextualSpacing w:val="0"/>
        <w:rPr>
          <w:rFonts w:asciiTheme="minorHAnsi" w:hAnsiTheme="minorHAnsi"/>
          <w:lang w:val="es-MX"/>
        </w:rPr>
      </w:pPr>
      <w:r w:rsidRPr="00D2098A">
        <w:rPr>
          <w:rFonts w:asciiTheme="minorHAnsi" w:hAnsiTheme="minorHAnsi"/>
          <w:lang w:val="es-MX"/>
        </w:rPr>
        <w:t>Contar con una sección de transparencia en el Portal de internet institucional.</w:t>
      </w:r>
    </w:p>
    <w:p w14:paraId="214B4EE2" w14:textId="77777777" w:rsidR="00556045" w:rsidRPr="00D2098A" w:rsidRDefault="00DE561E" w:rsidP="007E6236">
      <w:pPr>
        <w:pStyle w:val="Prrafodelista"/>
        <w:numPr>
          <w:ilvl w:val="0"/>
          <w:numId w:val="33"/>
        </w:numPr>
        <w:rPr>
          <w:rFonts w:asciiTheme="minorHAnsi" w:hAnsiTheme="minorHAnsi"/>
          <w:b/>
          <w:lang w:val="es-MX"/>
        </w:rPr>
      </w:pPr>
      <w:r w:rsidRPr="00D2098A">
        <w:rPr>
          <w:rFonts w:asciiTheme="minorHAnsi" w:hAnsiTheme="minorHAnsi"/>
          <w:b/>
          <w:lang w:val="es-MX"/>
        </w:rPr>
        <w:lastRenderedPageBreak/>
        <w:t xml:space="preserve">ASPECTOS </w:t>
      </w:r>
      <w:r w:rsidR="00756AF1" w:rsidRPr="00D2098A">
        <w:rPr>
          <w:rFonts w:asciiTheme="minorHAnsi" w:hAnsiTheme="minorHAnsi"/>
          <w:b/>
          <w:lang w:val="es-MX"/>
        </w:rPr>
        <w:t xml:space="preserve">A </w:t>
      </w:r>
      <w:r w:rsidRPr="00D2098A">
        <w:rPr>
          <w:rFonts w:asciiTheme="minorHAnsi" w:hAnsiTheme="minorHAnsi"/>
          <w:b/>
          <w:lang w:val="es-MX"/>
        </w:rPr>
        <w:t>EVALUA</w:t>
      </w:r>
      <w:r w:rsidR="00756AF1" w:rsidRPr="00D2098A">
        <w:rPr>
          <w:rFonts w:asciiTheme="minorHAnsi" w:hAnsiTheme="minorHAnsi"/>
          <w:b/>
          <w:lang w:val="es-MX"/>
        </w:rPr>
        <w:t>R</w:t>
      </w:r>
    </w:p>
    <w:p w14:paraId="611DF510" w14:textId="77777777" w:rsidR="00556045" w:rsidRPr="00D2098A" w:rsidRDefault="00556045" w:rsidP="009714E3">
      <w:pPr>
        <w:rPr>
          <w:rFonts w:asciiTheme="minorHAnsi" w:hAnsiTheme="minorHAnsi"/>
          <w:lang w:val="es-MX"/>
        </w:rPr>
      </w:pPr>
    </w:p>
    <w:p w14:paraId="554F5328" w14:textId="77777777" w:rsidR="00221D33" w:rsidRPr="00D2098A" w:rsidRDefault="00221D33" w:rsidP="009714E3">
      <w:pPr>
        <w:rPr>
          <w:rFonts w:asciiTheme="minorHAnsi" w:hAnsiTheme="minorHAnsi"/>
          <w:lang w:val="es-MX"/>
        </w:rPr>
      </w:pPr>
      <w:r w:rsidRPr="00D2098A">
        <w:rPr>
          <w:rFonts w:asciiTheme="minorHAnsi" w:hAnsiTheme="minorHAnsi"/>
          <w:lang w:val="es-MX"/>
        </w:rPr>
        <w:t xml:space="preserve">Los aspectos del desempeño de los </w:t>
      </w:r>
      <w:r w:rsidR="00F76859" w:rsidRPr="00D2098A">
        <w:rPr>
          <w:rFonts w:asciiTheme="minorHAnsi" w:hAnsiTheme="minorHAnsi"/>
          <w:lang w:val="es-MX"/>
        </w:rPr>
        <w:t>Entes</w:t>
      </w:r>
      <w:r w:rsidR="006653E8" w:rsidRPr="00D2098A">
        <w:rPr>
          <w:rFonts w:asciiTheme="minorHAnsi" w:hAnsiTheme="minorHAnsi"/>
          <w:lang w:val="es-MX"/>
        </w:rPr>
        <w:t xml:space="preserve"> </w:t>
      </w:r>
      <w:r w:rsidR="00F76859" w:rsidRPr="00D2098A">
        <w:rPr>
          <w:rFonts w:asciiTheme="minorHAnsi" w:hAnsiTheme="minorHAnsi"/>
          <w:lang w:val="es-MX"/>
        </w:rPr>
        <w:t>O</w:t>
      </w:r>
      <w:r w:rsidR="006653E8" w:rsidRPr="00D2098A">
        <w:rPr>
          <w:rFonts w:asciiTheme="minorHAnsi" w:hAnsiTheme="minorHAnsi"/>
          <w:lang w:val="es-MX"/>
        </w:rPr>
        <w:t>bligados</w:t>
      </w:r>
      <w:r w:rsidR="00AB7B42" w:rsidRPr="00D2098A">
        <w:rPr>
          <w:rFonts w:asciiTheme="minorHAnsi" w:hAnsiTheme="minorHAnsi"/>
          <w:lang w:val="es-MX"/>
        </w:rPr>
        <w:t xml:space="preserve"> que se considerará</w:t>
      </w:r>
      <w:r w:rsidRPr="00D2098A">
        <w:rPr>
          <w:rFonts w:asciiTheme="minorHAnsi" w:hAnsiTheme="minorHAnsi"/>
          <w:lang w:val="es-MX"/>
        </w:rPr>
        <w:t xml:space="preserve">n en </w:t>
      </w:r>
      <w:r w:rsidR="00756AF1" w:rsidRPr="00D2098A">
        <w:rPr>
          <w:rFonts w:asciiTheme="minorHAnsi" w:hAnsiTheme="minorHAnsi"/>
          <w:lang w:val="es-MX"/>
        </w:rPr>
        <w:t xml:space="preserve">la </w:t>
      </w:r>
      <w:r w:rsidRPr="00D2098A">
        <w:rPr>
          <w:rFonts w:asciiTheme="minorHAnsi" w:hAnsiTheme="minorHAnsi"/>
          <w:lang w:val="es-MX"/>
        </w:rPr>
        <w:t xml:space="preserve">evaluación </w:t>
      </w:r>
      <w:r w:rsidR="00756AF1" w:rsidRPr="00D2098A">
        <w:rPr>
          <w:rFonts w:asciiTheme="minorHAnsi" w:hAnsiTheme="minorHAnsi"/>
          <w:lang w:val="es-MX"/>
        </w:rPr>
        <w:t>correspondiente al ejercicio 20</w:t>
      </w:r>
      <w:r w:rsidR="00056EF4" w:rsidRPr="00D2098A">
        <w:rPr>
          <w:rFonts w:asciiTheme="minorHAnsi" w:hAnsiTheme="minorHAnsi"/>
          <w:lang w:val="es-MX"/>
        </w:rPr>
        <w:t>1</w:t>
      </w:r>
      <w:r w:rsidR="008E6DAA" w:rsidRPr="00D2098A">
        <w:rPr>
          <w:rFonts w:asciiTheme="minorHAnsi" w:hAnsiTheme="minorHAnsi"/>
          <w:lang w:val="es-MX"/>
        </w:rPr>
        <w:t>4</w:t>
      </w:r>
      <w:r w:rsidR="00756AF1" w:rsidRPr="00D2098A">
        <w:rPr>
          <w:rFonts w:asciiTheme="minorHAnsi" w:hAnsiTheme="minorHAnsi"/>
          <w:lang w:val="es-MX"/>
        </w:rPr>
        <w:t xml:space="preserve">, serán los </w:t>
      </w:r>
      <w:r w:rsidRPr="00D2098A">
        <w:rPr>
          <w:rFonts w:asciiTheme="minorHAnsi" w:hAnsiTheme="minorHAnsi"/>
          <w:lang w:val="es-MX"/>
        </w:rPr>
        <w:t>siguientes:</w:t>
      </w:r>
    </w:p>
    <w:p w14:paraId="5F361865" w14:textId="77777777" w:rsidR="00E332B0" w:rsidRPr="00D2098A" w:rsidRDefault="00E332B0" w:rsidP="00E332B0">
      <w:pPr>
        <w:rPr>
          <w:rFonts w:asciiTheme="minorHAnsi" w:hAnsiTheme="minorHAnsi"/>
          <w:lang w:val="es-MX"/>
        </w:rPr>
      </w:pPr>
    </w:p>
    <w:p w14:paraId="3952C5FD" w14:textId="77777777" w:rsidR="00841BB4" w:rsidRPr="00D2098A" w:rsidRDefault="00AB7B42" w:rsidP="006F1E4C">
      <w:pPr>
        <w:pStyle w:val="Prrafodelista"/>
        <w:numPr>
          <w:ilvl w:val="0"/>
          <w:numId w:val="10"/>
        </w:numPr>
        <w:ind w:left="714" w:hanging="357"/>
        <w:contextualSpacing w:val="0"/>
        <w:rPr>
          <w:rFonts w:asciiTheme="minorHAnsi" w:hAnsiTheme="minorHAnsi"/>
        </w:rPr>
      </w:pPr>
      <w:r w:rsidRPr="00D2098A">
        <w:rPr>
          <w:rFonts w:asciiTheme="minorHAnsi" w:hAnsiTheme="minorHAnsi"/>
        </w:rPr>
        <w:t xml:space="preserve">Índice Global del </w:t>
      </w:r>
      <w:r w:rsidR="009346D1" w:rsidRPr="00D2098A">
        <w:rPr>
          <w:rFonts w:asciiTheme="minorHAnsi" w:hAnsiTheme="minorHAnsi"/>
        </w:rPr>
        <w:t>C</w:t>
      </w:r>
      <w:r w:rsidRPr="00D2098A">
        <w:rPr>
          <w:rFonts w:asciiTheme="minorHAnsi" w:hAnsiTheme="minorHAnsi"/>
        </w:rPr>
        <w:t xml:space="preserve">umplimiento de las Obligaciones de Transparencia </w:t>
      </w:r>
      <w:r w:rsidR="00841BB4" w:rsidRPr="00D2098A">
        <w:rPr>
          <w:rFonts w:asciiTheme="minorHAnsi" w:hAnsiTheme="minorHAnsi"/>
        </w:rPr>
        <w:t>(Portales de Internet)</w:t>
      </w:r>
      <w:r w:rsidR="00191B76" w:rsidRPr="00D2098A">
        <w:rPr>
          <w:rFonts w:asciiTheme="minorHAnsi" w:hAnsiTheme="minorHAnsi"/>
        </w:rPr>
        <w:t>.</w:t>
      </w:r>
    </w:p>
    <w:p w14:paraId="378258F2" w14:textId="77777777" w:rsidR="006F1E4C" w:rsidRPr="00D2098A" w:rsidRDefault="006F1E4C" w:rsidP="006F1E4C">
      <w:pPr>
        <w:pStyle w:val="Prrafodelista"/>
        <w:ind w:left="714"/>
        <w:contextualSpacing w:val="0"/>
        <w:rPr>
          <w:rFonts w:asciiTheme="minorHAnsi" w:hAnsiTheme="minorHAnsi"/>
        </w:rPr>
      </w:pPr>
    </w:p>
    <w:p w14:paraId="1E9B142F" w14:textId="77777777" w:rsidR="00C3329D" w:rsidRPr="00D2098A" w:rsidRDefault="00C3329D" w:rsidP="006F1E4C">
      <w:pPr>
        <w:pStyle w:val="Prrafodelista"/>
        <w:numPr>
          <w:ilvl w:val="0"/>
          <w:numId w:val="10"/>
        </w:numPr>
        <w:ind w:left="714" w:hanging="357"/>
        <w:contextualSpacing w:val="0"/>
        <w:rPr>
          <w:rFonts w:asciiTheme="minorHAnsi" w:hAnsiTheme="minorHAnsi"/>
        </w:rPr>
      </w:pPr>
      <w:r w:rsidRPr="00D2098A">
        <w:rPr>
          <w:rFonts w:asciiTheme="minorHAnsi" w:hAnsiTheme="minorHAnsi"/>
        </w:rPr>
        <w:t xml:space="preserve">Índice de Acceso a la Información (Recursos de Revisión </w:t>
      </w:r>
      <w:r w:rsidR="008E54B8" w:rsidRPr="00D2098A">
        <w:rPr>
          <w:rFonts w:asciiTheme="minorHAnsi" w:hAnsiTheme="minorHAnsi"/>
        </w:rPr>
        <w:t xml:space="preserve">resueltos por el Pleno vs. Solicitudes de Información </w:t>
      </w:r>
      <w:r w:rsidR="009346D1" w:rsidRPr="00D2098A">
        <w:rPr>
          <w:rFonts w:asciiTheme="minorHAnsi" w:hAnsiTheme="minorHAnsi"/>
        </w:rPr>
        <w:t xml:space="preserve">Pública </w:t>
      </w:r>
      <w:r w:rsidR="006F1E4C" w:rsidRPr="00D2098A">
        <w:rPr>
          <w:rFonts w:asciiTheme="minorHAnsi" w:hAnsiTheme="minorHAnsi"/>
        </w:rPr>
        <w:t>recibidas).</w:t>
      </w:r>
    </w:p>
    <w:p w14:paraId="3E620180" w14:textId="77777777" w:rsidR="006F1E4C" w:rsidRPr="00D2098A" w:rsidRDefault="006F1E4C" w:rsidP="006F1E4C">
      <w:pPr>
        <w:pStyle w:val="Prrafodelista"/>
        <w:ind w:left="714"/>
        <w:contextualSpacing w:val="0"/>
        <w:rPr>
          <w:rFonts w:asciiTheme="minorHAnsi" w:hAnsiTheme="minorHAnsi"/>
        </w:rPr>
      </w:pPr>
    </w:p>
    <w:p w14:paraId="50E06EB4" w14:textId="77777777" w:rsidR="00E332B0" w:rsidRPr="00D2098A" w:rsidRDefault="00067299" w:rsidP="006F1E4C">
      <w:pPr>
        <w:pStyle w:val="Prrafodelista"/>
        <w:numPr>
          <w:ilvl w:val="0"/>
          <w:numId w:val="10"/>
        </w:numPr>
        <w:ind w:left="714" w:hanging="357"/>
        <w:contextualSpacing w:val="0"/>
        <w:rPr>
          <w:rFonts w:asciiTheme="minorHAnsi" w:hAnsiTheme="minorHAnsi"/>
        </w:rPr>
      </w:pPr>
      <w:r w:rsidRPr="00D2098A">
        <w:rPr>
          <w:rFonts w:asciiTheme="minorHAnsi" w:hAnsiTheme="minorHAnsi"/>
        </w:rPr>
        <w:t xml:space="preserve">Índice </w:t>
      </w:r>
      <w:r w:rsidR="00AB7B42" w:rsidRPr="00D2098A">
        <w:rPr>
          <w:rFonts w:asciiTheme="minorHAnsi" w:hAnsiTheme="minorHAnsi"/>
        </w:rPr>
        <w:t xml:space="preserve">de </w:t>
      </w:r>
      <w:r w:rsidRPr="00D2098A">
        <w:rPr>
          <w:rFonts w:asciiTheme="minorHAnsi" w:hAnsiTheme="minorHAnsi"/>
        </w:rPr>
        <w:t>c</w:t>
      </w:r>
      <w:r w:rsidR="00E332B0" w:rsidRPr="00D2098A">
        <w:rPr>
          <w:rFonts w:asciiTheme="minorHAnsi" w:hAnsiTheme="minorHAnsi"/>
        </w:rPr>
        <w:t>umplimiento, en tiempo y forma, de los requerimientos del I</w:t>
      </w:r>
      <w:r w:rsidR="009346D1" w:rsidRPr="00D2098A">
        <w:rPr>
          <w:rFonts w:asciiTheme="minorHAnsi" w:hAnsiTheme="minorHAnsi"/>
        </w:rPr>
        <w:t>nfo</w:t>
      </w:r>
      <w:r w:rsidR="00E332B0" w:rsidRPr="00D2098A">
        <w:rPr>
          <w:rFonts w:asciiTheme="minorHAnsi" w:hAnsiTheme="minorHAnsi"/>
        </w:rPr>
        <w:t xml:space="preserve">DF para </w:t>
      </w:r>
      <w:r w:rsidR="006653E8" w:rsidRPr="00D2098A">
        <w:rPr>
          <w:rFonts w:asciiTheme="minorHAnsi" w:hAnsiTheme="minorHAnsi"/>
        </w:rPr>
        <w:t>la observancia</w:t>
      </w:r>
      <w:r w:rsidR="00E332B0" w:rsidRPr="00D2098A">
        <w:rPr>
          <w:rFonts w:asciiTheme="minorHAnsi" w:hAnsiTheme="minorHAnsi"/>
        </w:rPr>
        <w:t xml:space="preserve"> de la </w:t>
      </w:r>
      <w:r w:rsidR="00FA7557" w:rsidRPr="00D2098A">
        <w:rPr>
          <w:rFonts w:asciiTheme="minorHAnsi" w:hAnsiTheme="minorHAnsi"/>
        </w:rPr>
        <w:t>LT</w:t>
      </w:r>
      <w:r w:rsidR="00AB7B42" w:rsidRPr="00D2098A">
        <w:rPr>
          <w:rFonts w:asciiTheme="minorHAnsi" w:hAnsiTheme="minorHAnsi"/>
        </w:rPr>
        <w:t>A</w:t>
      </w:r>
      <w:r w:rsidR="00FA7557" w:rsidRPr="00D2098A">
        <w:rPr>
          <w:rFonts w:asciiTheme="minorHAnsi" w:hAnsiTheme="minorHAnsi"/>
        </w:rPr>
        <w:t>IP</w:t>
      </w:r>
      <w:r w:rsidR="00E332B0" w:rsidRPr="00D2098A">
        <w:rPr>
          <w:rFonts w:asciiTheme="minorHAnsi" w:hAnsiTheme="minorHAnsi"/>
        </w:rPr>
        <w:t>DF.</w:t>
      </w:r>
    </w:p>
    <w:p w14:paraId="4D03DC1C" w14:textId="77777777" w:rsidR="006F1E4C" w:rsidRPr="00D2098A" w:rsidRDefault="006F1E4C" w:rsidP="006F1E4C">
      <w:pPr>
        <w:pStyle w:val="Prrafodelista"/>
        <w:rPr>
          <w:rFonts w:asciiTheme="minorHAnsi" w:hAnsiTheme="minorHAnsi"/>
        </w:rPr>
      </w:pPr>
    </w:p>
    <w:p w14:paraId="28200D84" w14:textId="77777777" w:rsidR="00775772" w:rsidRPr="00D2098A" w:rsidRDefault="00067299" w:rsidP="006F1E4C">
      <w:pPr>
        <w:pStyle w:val="Prrafodelista"/>
        <w:numPr>
          <w:ilvl w:val="0"/>
          <w:numId w:val="10"/>
        </w:numPr>
        <w:ind w:left="714" w:hanging="357"/>
        <w:contextualSpacing w:val="0"/>
        <w:rPr>
          <w:rFonts w:asciiTheme="minorHAnsi" w:hAnsiTheme="minorHAnsi"/>
        </w:rPr>
      </w:pPr>
      <w:r w:rsidRPr="00D2098A">
        <w:rPr>
          <w:rFonts w:asciiTheme="minorHAnsi" w:hAnsiTheme="minorHAnsi"/>
        </w:rPr>
        <w:t xml:space="preserve">Índice de </w:t>
      </w:r>
      <w:r w:rsidR="00775772" w:rsidRPr="00D2098A">
        <w:rPr>
          <w:rFonts w:asciiTheme="minorHAnsi" w:hAnsiTheme="minorHAnsi"/>
        </w:rPr>
        <w:t>Acciones de Capacitación.</w:t>
      </w:r>
    </w:p>
    <w:p w14:paraId="70B357A4" w14:textId="77777777" w:rsidR="00EA5D9F" w:rsidRPr="00D2098A" w:rsidRDefault="00EA5D9F" w:rsidP="009714E3">
      <w:pPr>
        <w:rPr>
          <w:rFonts w:asciiTheme="minorHAnsi" w:hAnsiTheme="minorHAnsi"/>
        </w:rPr>
      </w:pPr>
    </w:p>
    <w:p w14:paraId="2B3634DA" w14:textId="77777777" w:rsidR="006F1E4C" w:rsidRPr="00D2098A" w:rsidRDefault="006F1E4C" w:rsidP="009714E3">
      <w:pPr>
        <w:rPr>
          <w:rFonts w:asciiTheme="minorHAnsi" w:hAnsiTheme="minorHAnsi"/>
        </w:rPr>
      </w:pPr>
    </w:p>
    <w:p w14:paraId="599655DA" w14:textId="77777777" w:rsidR="00556045" w:rsidRPr="00D2098A" w:rsidRDefault="00DE561E" w:rsidP="007E6236">
      <w:pPr>
        <w:pStyle w:val="Prrafodelista"/>
        <w:numPr>
          <w:ilvl w:val="0"/>
          <w:numId w:val="33"/>
        </w:numPr>
        <w:rPr>
          <w:rFonts w:asciiTheme="minorHAnsi" w:hAnsiTheme="minorHAnsi"/>
          <w:b/>
          <w:lang w:val="es-MX"/>
        </w:rPr>
      </w:pPr>
      <w:r w:rsidRPr="00D2098A">
        <w:rPr>
          <w:rFonts w:asciiTheme="minorHAnsi" w:hAnsiTheme="minorHAnsi"/>
          <w:b/>
          <w:lang w:val="es-MX"/>
        </w:rPr>
        <w:t>PONDERACIÓN</w:t>
      </w:r>
    </w:p>
    <w:p w14:paraId="7768710C" w14:textId="77777777" w:rsidR="00556045" w:rsidRPr="00D2098A" w:rsidRDefault="00556045" w:rsidP="009714E3">
      <w:pPr>
        <w:rPr>
          <w:rFonts w:asciiTheme="minorHAnsi" w:hAnsiTheme="minorHAnsi"/>
          <w:lang w:val="es-MX"/>
        </w:rPr>
      </w:pPr>
    </w:p>
    <w:p w14:paraId="7CC5C5ED" w14:textId="77777777" w:rsidR="00776CE8" w:rsidRPr="00D2098A" w:rsidRDefault="00221D33" w:rsidP="00A232D5">
      <w:pPr>
        <w:rPr>
          <w:rFonts w:asciiTheme="minorHAnsi" w:hAnsiTheme="minorHAnsi"/>
          <w:lang w:val="es-MX"/>
        </w:rPr>
      </w:pPr>
      <w:r w:rsidRPr="00D2098A">
        <w:rPr>
          <w:rFonts w:asciiTheme="minorHAnsi" w:hAnsiTheme="minorHAnsi"/>
          <w:lang w:val="es-MX"/>
        </w:rPr>
        <w:t xml:space="preserve">Para </w:t>
      </w:r>
      <w:r w:rsidR="00E57811" w:rsidRPr="00D2098A">
        <w:rPr>
          <w:rFonts w:asciiTheme="minorHAnsi" w:hAnsiTheme="minorHAnsi"/>
          <w:lang w:val="es-MX"/>
        </w:rPr>
        <w:t>determina</w:t>
      </w:r>
      <w:r w:rsidR="00B13C73" w:rsidRPr="00D2098A">
        <w:rPr>
          <w:rFonts w:asciiTheme="minorHAnsi" w:hAnsiTheme="minorHAnsi"/>
          <w:lang w:val="es-MX"/>
        </w:rPr>
        <w:t>r</w:t>
      </w:r>
      <w:r w:rsidRPr="00D2098A">
        <w:rPr>
          <w:rFonts w:asciiTheme="minorHAnsi" w:hAnsiTheme="minorHAnsi"/>
          <w:lang w:val="es-MX"/>
        </w:rPr>
        <w:t xml:space="preserve"> los primeros lugares en </w:t>
      </w:r>
      <w:r w:rsidR="006D5F58" w:rsidRPr="00D2098A">
        <w:rPr>
          <w:rFonts w:asciiTheme="minorHAnsi" w:hAnsiTheme="minorHAnsi"/>
          <w:lang w:val="es-MX"/>
        </w:rPr>
        <w:t xml:space="preserve">las </w:t>
      </w:r>
      <w:r w:rsidRPr="00D2098A">
        <w:rPr>
          <w:rFonts w:asciiTheme="minorHAnsi" w:hAnsiTheme="minorHAnsi"/>
          <w:lang w:val="es-MX"/>
        </w:rPr>
        <w:t>“Mejores Prácticas de Transparencia</w:t>
      </w:r>
      <w:r w:rsidR="006B5BC6" w:rsidRPr="00D2098A">
        <w:rPr>
          <w:rFonts w:asciiTheme="minorHAnsi" w:hAnsiTheme="minorHAnsi"/>
          <w:lang w:val="es-MX"/>
        </w:rPr>
        <w:t>, 20</w:t>
      </w:r>
      <w:r w:rsidR="007044AA" w:rsidRPr="00D2098A">
        <w:rPr>
          <w:rFonts w:asciiTheme="minorHAnsi" w:hAnsiTheme="minorHAnsi"/>
          <w:lang w:val="es-MX"/>
        </w:rPr>
        <w:t>1</w:t>
      </w:r>
      <w:r w:rsidR="008E6DAA" w:rsidRPr="00D2098A">
        <w:rPr>
          <w:rFonts w:asciiTheme="minorHAnsi" w:hAnsiTheme="minorHAnsi"/>
          <w:lang w:val="es-MX"/>
        </w:rPr>
        <w:t>4</w:t>
      </w:r>
      <w:r w:rsidRPr="00D2098A">
        <w:rPr>
          <w:rFonts w:asciiTheme="minorHAnsi" w:hAnsiTheme="minorHAnsi"/>
          <w:lang w:val="es-MX"/>
        </w:rPr>
        <w:t>”</w:t>
      </w:r>
      <w:r w:rsidR="00776CE8" w:rsidRPr="00D2098A">
        <w:rPr>
          <w:rFonts w:asciiTheme="minorHAnsi" w:hAnsiTheme="minorHAnsi"/>
          <w:lang w:val="es-MX"/>
        </w:rPr>
        <w:t xml:space="preserve">, </w:t>
      </w:r>
      <w:r w:rsidR="006D5F58" w:rsidRPr="00D2098A">
        <w:rPr>
          <w:rFonts w:asciiTheme="minorHAnsi" w:hAnsiTheme="minorHAnsi"/>
          <w:lang w:val="es-MX"/>
        </w:rPr>
        <w:t xml:space="preserve">se </w:t>
      </w:r>
      <w:r w:rsidR="00B13C73" w:rsidRPr="00D2098A">
        <w:rPr>
          <w:rFonts w:asciiTheme="minorHAnsi" w:hAnsiTheme="minorHAnsi"/>
          <w:lang w:val="es-MX"/>
        </w:rPr>
        <w:t xml:space="preserve">realizará el cálculo </w:t>
      </w:r>
      <w:r w:rsidR="006D5F58" w:rsidRPr="00D2098A">
        <w:rPr>
          <w:rFonts w:asciiTheme="minorHAnsi" w:hAnsiTheme="minorHAnsi"/>
          <w:lang w:val="es-MX"/>
        </w:rPr>
        <w:t>del Índice Compuesto de Mejores Prácticas de Transparencia (ICMPT), mismo que se integra por</w:t>
      </w:r>
      <w:r w:rsidR="00776CE8" w:rsidRPr="00D2098A">
        <w:rPr>
          <w:rFonts w:asciiTheme="minorHAnsi" w:hAnsiTheme="minorHAnsi"/>
          <w:lang w:val="es-MX"/>
        </w:rPr>
        <w:t xml:space="preserve"> cada uno de los </w:t>
      </w:r>
      <w:r w:rsidR="00C3329D" w:rsidRPr="00D2098A">
        <w:rPr>
          <w:rFonts w:asciiTheme="minorHAnsi" w:hAnsiTheme="minorHAnsi"/>
          <w:lang w:val="es-MX"/>
        </w:rPr>
        <w:t>cuatro</w:t>
      </w:r>
      <w:r w:rsidR="00776CE8" w:rsidRPr="00D2098A">
        <w:rPr>
          <w:rFonts w:asciiTheme="minorHAnsi" w:hAnsiTheme="minorHAnsi"/>
          <w:lang w:val="es-MX"/>
        </w:rPr>
        <w:t xml:space="preserve"> aspe</w:t>
      </w:r>
      <w:r w:rsidR="006B5BC6" w:rsidRPr="00D2098A">
        <w:rPr>
          <w:rFonts w:asciiTheme="minorHAnsi" w:hAnsiTheme="minorHAnsi"/>
          <w:lang w:val="es-MX"/>
        </w:rPr>
        <w:t xml:space="preserve">ctos </w:t>
      </w:r>
      <w:r w:rsidR="006D5F58" w:rsidRPr="00D2098A">
        <w:rPr>
          <w:rFonts w:asciiTheme="minorHAnsi" w:hAnsiTheme="minorHAnsi"/>
          <w:lang w:val="es-MX"/>
        </w:rPr>
        <w:t>mencionados anteriormente</w:t>
      </w:r>
      <w:r w:rsidR="006B5BC6" w:rsidRPr="00D2098A">
        <w:rPr>
          <w:rFonts w:asciiTheme="minorHAnsi" w:hAnsiTheme="minorHAnsi"/>
          <w:lang w:val="es-MX"/>
        </w:rPr>
        <w:t xml:space="preserve">, </w:t>
      </w:r>
      <w:r w:rsidR="006D5F58" w:rsidRPr="00D2098A">
        <w:rPr>
          <w:rFonts w:asciiTheme="minorHAnsi" w:hAnsiTheme="minorHAnsi"/>
          <w:lang w:val="es-MX"/>
        </w:rPr>
        <w:t>acorde a l</w:t>
      </w:r>
      <w:r w:rsidR="00776CE8" w:rsidRPr="00D2098A">
        <w:rPr>
          <w:rFonts w:asciiTheme="minorHAnsi" w:hAnsiTheme="minorHAnsi"/>
          <w:lang w:val="es-MX"/>
        </w:rPr>
        <w:t>a siguiente ponderación:</w:t>
      </w:r>
    </w:p>
    <w:p w14:paraId="4A471CF1" w14:textId="77777777" w:rsidR="00221D33" w:rsidRPr="00D2098A" w:rsidRDefault="00221D33" w:rsidP="009714E3">
      <w:pPr>
        <w:rPr>
          <w:rFonts w:asciiTheme="minorHAnsi" w:hAnsiTheme="minorHAnsi"/>
          <w:lang w:val="es-MX"/>
        </w:rPr>
      </w:pPr>
    </w:p>
    <w:p w14:paraId="252E2F88" w14:textId="77777777" w:rsidR="00303AC9" w:rsidRPr="00D2098A" w:rsidRDefault="00303AC9" w:rsidP="006F1E4C">
      <w:pPr>
        <w:rPr>
          <w:rFonts w:asciiTheme="minorHAnsi" w:hAnsiTheme="minorHAnsi"/>
          <w:lang w:val="es-MX"/>
        </w:rPr>
      </w:pPr>
    </w:p>
    <w:p w14:paraId="77E2300C" w14:textId="77777777" w:rsidR="00C3329D" w:rsidRPr="00D2098A" w:rsidRDefault="00AB7B42" w:rsidP="006F1E4C">
      <w:pPr>
        <w:pStyle w:val="Prrafodelista"/>
        <w:numPr>
          <w:ilvl w:val="0"/>
          <w:numId w:val="6"/>
        </w:numPr>
        <w:ind w:left="714" w:hanging="357"/>
        <w:contextualSpacing w:val="0"/>
        <w:rPr>
          <w:rFonts w:asciiTheme="minorHAnsi" w:hAnsiTheme="minorHAnsi"/>
        </w:rPr>
      </w:pPr>
      <w:r w:rsidRPr="00D2098A">
        <w:rPr>
          <w:rFonts w:asciiTheme="minorHAnsi" w:hAnsiTheme="minorHAnsi"/>
        </w:rPr>
        <w:t xml:space="preserve">Índice Global del </w:t>
      </w:r>
      <w:r w:rsidR="00A86885" w:rsidRPr="00D2098A">
        <w:rPr>
          <w:rFonts w:asciiTheme="minorHAnsi" w:hAnsiTheme="minorHAnsi"/>
        </w:rPr>
        <w:t>C</w:t>
      </w:r>
      <w:r w:rsidRPr="00D2098A">
        <w:rPr>
          <w:rFonts w:asciiTheme="minorHAnsi" w:hAnsiTheme="minorHAnsi"/>
        </w:rPr>
        <w:t>umplimiento de las Obligaciones de Transparencia</w:t>
      </w:r>
      <w:r w:rsidR="00C3329D" w:rsidRPr="00D2098A">
        <w:rPr>
          <w:rFonts w:asciiTheme="minorHAnsi" w:hAnsiTheme="minorHAnsi"/>
        </w:rPr>
        <w:t xml:space="preserve">: </w:t>
      </w:r>
      <w:r w:rsidR="00C3329D" w:rsidRPr="00D2098A">
        <w:rPr>
          <w:rFonts w:asciiTheme="minorHAnsi" w:hAnsiTheme="minorHAnsi"/>
          <w:b/>
        </w:rPr>
        <w:t>30%</w:t>
      </w:r>
      <w:r w:rsidR="00CB060C" w:rsidRPr="00D2098A">
        <w:rPr>
          <w:rFonts w:asciiTheme="minorHAnsi" w:hAnsiTheme="minorHAnsi"/>
          <w:b/>
        </w:rPr>
        <w:t>.</w:t>
      </w:r>
    </w:p>
    <w:p w14:paraId="3B5A2CAD" w14:textId="77777777" w:rsidR="006F1E4C" w:rsidRPr="00D2098A" w:rsidRDefault="006F1E4C" w:rsidP="006F1E4C">
      <w:pPr>
        <w:pStyle w:val="Prrafodelista"/>
        <w:ind w:left="714"/>
        <w:contextualSpacing w:val="0"/>
        <w:rPr>
          <w:rFonts w:asciiTheme="minorHAnsi" w:hAnsiTheme="minorHAnsi"/>
        </w:rPr>
      </w:pPr>
    </w:p>
    <w:p w14:paraId="0D70CD7B" w14:textId="77777777" w:rsidR="00DA43E4" w:rsidRPr="00D2098A" w:rsidRDefault="00DA43E4" w:rsidP="006F1E4C">
      <w:pPr>
        <w:pStyle w:val="Prrafodelista"/>
        <w:numPr>
          <w:ilvl w:val="0"/>
          <w:numId w:val="6"/>
        </w:numPr>
        <w:ind w:left="714" w:hanging="357"/>
        <w:contextualSpacing w:val="0"/>
        <w:rPr>
          <w:rFonts w:asciiTheme="minorHAnsi" w:hAnsiTheme="minorHAnsi"/>
        </w:rPr>
      </w:pPr>
      <w:r w:rsidRPr="00D2098A">
        <w:rPr>
          <w:rFonts w:asciiTheme="minorHAnsi" w:hAnsiTheme="minorHAnsi"/>
        </w:rPr>
        <w:t xml:space="preserve">Índice de Acceso a la Información: </w:t>
      </w:r>
      <w:r w:rsidR="00B93FC4" w:rsidRPr="00D2098A">
        <w:rPr>
          <w:rFonts w:asciiTheme="minorHAnsi" w:hAnsiTheme="minorHAnsi"/>
          <w:b/>
        </w:rPr>
        <w:t>30</w:t>
      </w:r>
      <w:r w:rsidRPr="00D2098A">
        <w:rPr>
          <w:rFonts w:asciiTheme="minorHAnsi" w:hAnsiTheme="minorHAnsi"/>
          <w:b/>
        </w:rPr>
        <w:t>%</w:t>
      </w:r>
      <w:r w:rsidR="00CB060C" w:rsidRPr="00D2098A">
        <w:rPr>
          <w:rFonts w:asciiTheme="minorHAnsi" w:hAnsiTheme="minorHAnsi"/>
          <w:b/>
        </w:rPr>
        <w:t>.</w:t>
      </w:r>
    </w:p>
    <w:p w14:paraId="3B8798FD" w14:textId="77777777" w:rsidR="006F1E4C" w:rsidRPr="00D2098A" w:rsidRDefault="006F1E4C" w:rsidP="006F1E4C">
      <w:pPr>
        <w:pStyle w:val="Prrafodelista"/>
        <w:rPr>
          <w:rFonts w:asciiTheme="minorHAnsi" w:hAnsiTheme="minorHAnsi"/>
        </w:rPr>
      </w:pPr>
    </w:p>
    <w:p w14:paraId="5C04E951" w14:textId="77777777" w:rsidR="00DA43E4" w:rsidRPr="00D2098A" w:rsidRDefault="00067299" w:rsidP="006F1E4C">
      <w:pPr>
        <w:pStyle w:val="Prrafodelista"/>
        <w:numPr>
          <w:ilvl w:val="0"/>
          <w:numId w:val="6"/>
        </w:numPr>
        <w:ind w:left="714" w:hanging="357"/>
        <w:contextualSpacing w:val="0"/>
        <w:rPr>
          <w:rFonts w:asciiTheme="minorHAnsi" w:hAnsiTheme="minorHAnsi"/>
        </w:rPr>
      </w:pPr>
      <w:r w:rsidRPr="00D2098A">
        <w:rPr>
          <w:rFonts w:asciiTheme="minorHAnsi" w:hAnsiTheme="minorHAnsi"/>
        </w:rPr>
        <w:t>Índice de c</w:t>
      </w:r>
      <w:r w:rsidR="00C3329D" w:rsidRPr="00D2098A">
        <w:rPr>
          <w:rFonts w:asciiTheme="minorHAnsi" w:hAnsiTheme="minorHAnsi"/>
        </w:rPr>
        <w:t>umplimiento, en tiempo y forma, de los requerimientos del I</w:t>
      </w:r>
      <w:r w:rsidR="00A86885" w:rsidRPr="00D2098A">
        <w:rPr>
          <w:rFonts w:asciiTheme="minorHAnsi" w:hAnsiTheme="minorHAnsi"/>
        </w:rPr>
        <w:t>nfo</w:t>
      </w:r>
      <w:r w:rsidR="00C3329D" w:rsidRPr="00D2098A">
        <w:rPr>
          <w:rFonts w:asciiTheme="minorHAnsi" w:hAnsiTheme="minorHAnsi"/>
        </w:rPr>
        <w:t xml:space="preserve">DF para </w:t>
      </w:r>
      <w:r w:rsidR="00AB7B42" w:rsidRPr="00D2098A">
        <w:rPr>
          <w:rFonts w:asciiTheme="minorHAnsi" w:hAnsiTheme="minorHAnsi"/>
        </w:rPr>
        <w:t>la observancia</w:t>
      </w:r>
      <w:r w:rsidR="00C3329D" w:rsidRPr="00D2098A">
        <w:rPr>
          <w:rFonts w:asciiTheme="minorHAnsi" w:hAnsiTheme="minorHAnsi"/>
        </w:rPr>
        <w:t xml:space="preserve"> de la LTAIPDF</w:t>
      </w:r>
      <w:r w:rsidR="00DA43E4" w:rsidRPr="00D2098A">
        <w:rPr>
          <w:rFonts w:asciiTheme="minorHAnsi" w:hAnsiTheme="minorHAnsi"/>
        </w:rPr>
        <w:t xml:space="preserve">: </w:t>
      </w:r>
      <w:r w:rsidR="00B93FC4" w:rsidRPr="00D2098A">
        <w:rPr>
          <w:rFonts w:asciiTheme="minorHAnsi" w:hAnsiTheme="minorHAnsi"/>
          <w:b/>
        </w:rPr>
        <w:t>20</w:t>
      </w:r>
      <w:r w:rsidR="00DA43E4" w:rsidRPr="00D2098A">
        <w:rPr>
          <w:rFonts w:asciiTheme="minorHAnsi" w:hAnsiTheme="minorHAnsi"/>
          <w:b/>
        </w:rPr>
        <w:t>%</w:t>
      </w:r>
      <w:r w:rsidR="00CB060C" w:rsidRPr="00D2098A">
        <w:rPr>
          <w:rFonts w:asciiTheme="minorHAnsi" w:hAnsiTheme="minorHAnsi"/>
          <w:b/>
        </w:rPr>
        <w:t>.</w:t>
      </w:r>
    </w:p>
    <w:p w14:paraId="4377A63C" w14:textId="77777777" w:rsidR="006F1E4C" w:rsidRPr="00D2098A" w:rsidRDefault="006F1E4C" w:rsidP="006F1E4C">
      <w:pPr>
        <w:pStyle w:val="Prrafodelista"/>
        <w:rPr>
          <w:rFonts w:asciiTheme="minorHAnsi" w:hAnsiTheme="minorHAnsi"/>
        </w:rPr>
      </w:pPr>
    </w:p>
    <w:p w14:paraId="60313585" w14:textId="77777777" w:rsidR="00C3329D" w:rsidRPr="00D2098A" w:rsidRDefault="00067299" w:rsidP="006F1E4C">
      <w:pPr>
        <w:pStyle w:val="Prrafodelista"/>
        <w:numPr>
          <w:ilvl w:val="0"/>
          <w:numId w:val="6"/>
        </w:numPr>
        <w:ind w:left="714" w:hanging="357"/>
        <w:contextualSpacing w:val="0"/>
        <w:rPr>
          <w:rFonts w:asciiTheme="minorHAnsi" w:hAnsiTheme="minorHAnsi"/>
        </w:rPr>
      </w:pPr>
      <w:r w:rsidRPr="00D2098A">
        <w:rPr>
          <w:rFonts w:asciiTheme="minorHAnsi" w:hAnsiTheme="minorHAnsi"/>
        </w:rPr>
        <w:t xml:space="preserve">Índice de </w:t>
      </w:r>
      <w:r w:rsidR="00C3329D" w:rsidRPr="00D2098A">
        <w:rPr>
          <w:rFonts w:asciiTheme="minorHAnsi" w:hAnsiTheme="minorHAnsi"/>
        </w:rPr>
        <w:t xml:space="preserve">Acciones de Capacitación: </w:t>
      </w:r>
      <w:r w:rsidR="00C3329D" w:rsidRPr="00D2098A">
        <w:rPr>
          <w:rFonts w:asciiTheme="minorHAnsi" w:hAnsiTheme="minorHAnsi"/>
          <w:b/>
        </w:rPr>
        <w:t>20%</w:t>
      </w:r>
      <w:r w:rsidR="00CB060C" w:rsidRPr="00D2098A">
        <w:rPr>
          <w:rFonts w:asciiTheme="minorHAnsi" w:hAnsiTheme="minorHAnsi"/>
          <w:b/>
        </w:rPr>
        <w:t>.</w:t>
      </w:r>
    </w:p>
    <w:p w14:paraId="5ADF1478" w14:textId="77777777" w:rsidR="00EA5D9F" w:rsidRPr="00D2098A" w:rsidRDefault="00EA5D9F" w:rsidP="009714E3">
      <w:pPr>
        <w:rPr>
          <w:rFonts w:asciiTheme="minorHAnsi" w:hAnsiTheme="minorHAnsi"/>
          <w:lang w:val="es-MX"/>
        </w:rPr>
      </w:pPr>
    </w:p>
    <w:p w14:paraId="3B2121AD" w14:textId="77777777" w:rsidR="008E54B8" w:rsidRPr="00D2098A" w:rsidRDefault="00111675" w:rsidP="009714E3">
      <w:pPr>
        <w:rPr>
          <w:rFonts w:asciiTheme="minorHAnsi" w:hAnsiTheme="minorHAnsi"/>
        </w:rPr>
      </w:pPr>
      <w:r w:rsidRPr="00D2098A">
        <w:rPr>
          <w:rFonts w:asciiTheme="minorHAnsi" w:hAnsiTheme="minorHAnsi"/>
          <w:lang w:val="es-MX"/>
        </w:rPr>
        <w:t xml:space="preserve">Como se puede observar, </w:t>
      </w:r>
      <w:r w:rsidR="00720269" w:rsidRPr="00D2098A">
        <w:rPr>
          <w:rFonts w:asciiTheme="minorHAnsi" w:hAnsiTheme="minorHAnsi"/>
          <w:lang w:val="es-MX"/>
        </w:rPr>
        <w:t xml:space="preserve">dada su relativa importancia, </w:t>
      </w:r>
      <w:r w:rsidRPr="00D2098A">
        <w:rPr>
          <w:rFonts w:asciiTheme="minorHAnsi" w:hAnsiTheme="minorHAnsi"/>
          <w:lang w:val="es-MX"/>
        </w:rPr>
        <w:t>esta ponderación privilegia el cumplimiento de los aspectos uno y dos por sobre los aspectos tres y cuatro, conforme a lo siguiente: se otorga un 30</w:t>
      </w:r>
      <w:r w:rsidR="007628AF" w:rsidRPr="00D2098A">
        <w:rPr>
          <w:rFonts w:asciiTheme="minorHAnsi" w:hAnsiTheme="minorHAnsi"/>
          <w:lang w:val="es-MX"/>
        </w:rPr>
        <w:t xml:space="preserve"> por ciento</w:t>
      </w:r>
      <w:r w:rsidRPr="00D2098A">
        <w:rPr>
          <w:rFonts w:asciiTheme="minorHAnsi" w:hAnsiTheme="minorHAnsi"/>
          <w:lang w:val="es-MX"/>
        </w:rPr>
        <w:t xml:space="preserve"> al </w:t>
      </w:r>
      <w:r w:rsidRPr="00D2098A">
        <w:rPr>
          <w:rFonts w:asciiTheme="minorHAnsi" w:hAnsiTheme="minorHAnsi"/>
        </w:rPr>
        <w:t xml:space="preserve">Índice Global del </w:t>
      </w:r>
      <w:r w:rsidR="0066363C" w:rsidRPr="00D2098A">
        <w:rPr>
          <w:rFonts w:asciiTheme="minorHAnsi" w:hAnsiTheme="minorHAnsi"/>
        </w:rPr>
        <w:t>C</w:t>
      </w:r>
      <w:r w:rsidRPr="00D2098A">
        <w:rPr>
          <w:rFonts w:asciiTheme="minorHAnsi" w:hAnsiTheme="minorHAnsi"/>
        </w:rPr>
        <w:t xml:space="preserve">umplimiento de las Obligaciones de Transparencia, en virtud de que la observancia en la publicitación de la información de oficio en las páginas de Internet de los </w:t>
      </w:r>
      <w:r w:rsidR="000C7491" w:rsidRPr="00D2098A">
        <w:rPr>
          <w:rFonts w:asciiTheme="minorHAnsi" w:hAnsiTheme="minorHAnsi"/>
        </w:rPr>
        <w:t>Entes O</w:t>
      </w:r>
      <w:r w:rsidRPr="00D2098A">
        <w:rPr>
          <w:rFonts w:asciiTheme="minorHAnsi" w:hAnsiTheme="minorHAnsi"/>
        </w:rPr>
        <w:t>bligados es fundamental para la concreción de la transparencia gubernamental</w:t>
      </w:r>
      <w:r w:rsidR="00470866" w:rsidRPr="00D2098A">
        <w:rPr>
          <w:rFonts w:asciiTheme="minorHAnsi" w:hAnsiTheme="minorHAnsi"/>
        </w:rPr>
        <w:t xml:space="preserve"> y para el acceso de los particulares a esa información</w:t>
      </w:r>
      <w:r w:rsidRPr="00D2098A">
        <w:rPr>
          <w:rFonts w:asciiTheme="minorHAnsi" w:hAnsiTheme="minorHAnsi"/>
        </w:rPr>
        <w:t>. Igualmente, se otorga un 30</w:t>
      </w:r>
      <w:r w:rsidR="007628AF" w:rsidRPr="00D2098A">
        <w:rPr>
          <w:rFonts w:asciiTheme="minorHAnsi" w:hAnsiTheme="minorHAnsi"/>
        </w:rPr>
        <w:t xml:space="preserve"> por ciento</w:t>
      </w:r>
      <w:r w:rsidR="003F2833" w:rsidRPr="00D2098A">
        <w:rPr>
          <w:rFonts w:asciiTheme="minorHAnsi" w:hAnsiTheme="minorHAnsi"/>
        </w:rPr>
        <w:t xml:space="preserve"> al Í</w:t>
      </w:r>
      <w:r w:rsidRPr="00D2098A">
        <w:rPr>
          <w:rFonts w:asciiTheme="minorHAnsi" w:hAnsiTheme="minorHAnsi"/>
        </w:rPr>
        <w:t>ndice de Acceso a la Información, en virtud de que la atención adecuada y conforme a Ley de las solicitudes de información</w:t>
      </w:r>
      <w:r w:rsidR="006D5F58" w:rsidRPr="00D2098A">
        <w:rPr>
          <w:rFonts w:asciiTheme="minorHAnsi" w:hAnsiTheme="minorHAnsi"/>
        </w:rPr>
        <w:t xml:space="preserve"> pública</w:t>
      </w:r>
      <w:r w:rsidRPr="00D2098A">
        <w:rPr>
          <w:rFonts w:asciiTheme="minorHAnsi" w:hAnsiTheme="minorHAnsi"/>
        </w:rPr>
        <w:t xml:space="preserve">, sin que haya Recursos de Revisión con responsabilidad atribuible al Ente </w:t>
      </w:r>
      <w:r w:rsidR="008E54B8" w:rsidRPr="00D2098A">
        <w:rPr>
          <w:rFonts w:asciiTheme="minorHAnsi" w:hAnsiTheme="minorHAnsi"/>
        </w:rPr>
        <w:t>Obligado</w:t>
      </w:r>
      <w:r w:rsidRPr="00D2098A">
        <w:rPr>
          <w:rFonts w:asciiTheme="minorHAnsi" w:hAnsiTheme="minorHAnsi"/>
        </w:rPr>
        <w:t xml:space="preserve">, constituye una práctica fundamental para la concreción del </w:t>
      </w:r>
      <w:r w:rsidR="00493FC5" w:rsidRPr="00D2098A">
        <w:rPr>
          <w:rFonts w:asciiTheme="minorHAnsi" w:hAnsiTheme="minorHAnsi"/>
          <w:b/>
        </w:rPr>
        <w:t>e</w:t>
      </w:r>
      <w:r w:rsidR="0066363C" w:rsidRPr="00D2098A">
        <w:rPr>
          <w:rFonts w:asciiTheme="minorHAnsi" w:hAnsiTheme="minorHAnsi"/>
          <w:b/>
        </w:rPr>
        <w:t>j</w:t>
      </w:r>
      <w:r w:rsidRPr="00D2098A">
        <w:rPr>
          <w:rFonts w:asciiTheme="minorHAnsi" w:hAnsiTheme="minorHAnsi"/>
          <w:b/>
        </w:rPr>
        <w:t xml:space="preserve">ercicio del </w:t>
      </w:r>
      <w:r w:rsidR="006D5F58" w:rsidRPr="00D2098A">
        <w:rPr>
          <w:rFonts w:asciiTheme="minorHAnsi" w:hAnsiTheme="minorHAnsi"/>
          <w:b/>
        </w:rPr>
        <w:t>D</w:t>
      </w:r>
      <w:r w:rsidRPr="00D2098A">
        <w:rPr>
          <w:rFonts w:asciiTheme="minorHAnsi" w:hAnsiTheme="minorHAnsi"/>
          <w:b/>
        </w:rPr>
        <w:t>erecho de</w:t>
      </w:r>
      <w:r w:rsidR="006D5F58" w:rsidRPr="00D2098A">
        <w:rPr>
          <w:rFonts w:asciiTheme="minorHAnsi" w:hAnsiTheme="minorHAnsi"/>
          <w:b/>
        </w:rPr>
        <w:t xml:space="preserve"> A</w:t>
      </w:r>
      <w:r w:rsidRPr="00D2098A">
        <w:rPr>
          <w:rFonts w:asciiTheme="minorHAnsi" w:hAnsiTheme="minorHAnsi"/>
          <w:b/>
        </w:rPr>
        <w:t xml:space="preserve">cceso a la </w:t>
      </w:r>
      <w:r w:rsidR="006D5F58" w:rsidRPr="00D2098A">
        <w:rPr>
          <w:rFonts w:asciiTheme="minorHAnsi" w:hAnsiTheme="minorHAnsi"/>
          <w:b/>
        </w:rPr>
        <w:t>I</w:t>
      </w:r>
      <w:r w:rsidRPr="00D2098A">
        <w:rPr>
          <w:rFonts w:asciiTheme="minorHAnsi" w:hAnsiTheme="minorHAnsi"/>
          <w:b/>
        </w:rPr>
        <w:t xml:space="preserve">nformación </w:t>
      </w:r>
      <w:r w:rsidR="006D5F58" w:rsidRPr="00D2098A">
        <w:rPr>
          <w:rFonts w:asciiTheme="minorHAnsi" w:hAnsiTheme="minorHAnsi"/>
          <w:b/>
        </w:rPr>
        <w:t>P</w:t>
      </w:r>
      <w:r w:rsidRPr="00D2098A">
        <w:rPr>
          <w:rFonts w:asciiTheme="minorHAnsi" w:hAnsiTheme="minorHAnsi"/>
          <w:b/>
        </w:rPr>
        <w:t>ública</w:t>
      </w:r>
      <w:r w:rsidRPr="00D2098A">
        <w:rPr>
          <w:rFonts w:asciiTheme="minorHAnsi" w:hAnsiTheme="minorHAnsi"/>
        </w:rPr>
        <w:t>.</w:t>
      </w:r>
    </w:p>
    <w:p w14:paraId="0115BAC6" w14:textId="77777777" w:rsidR="009775AC" w:rsidRPr="00D2098A" w:rsidRDefault="009775AC" w:rsidP="009714E3">
      <w:pPr>
        <w:rPr>
          <w:rFonts w:asciiTheme="minorHAnsi" w:hAnsiTheme="minorHAnsi"/>
        </w:rPr>
      </w:pPr>
    </w:p>
    <w:p w14:paraId="39AAF800" w14:textId="77777777" w:rsidR="00FE5C35" w:rsidRPr="00D2098A" w:rsidRDefault="00FE5C35" w:rsidP="009714E3">
      <w:pPr>
        <w:rPr>
          <w:rFonts w:asciiTheme="minorHAnsi" w:hAnsiTheme="minorHAnsi"/>
        </w:rPr>
      </w:pPr>
    </w:p>
    <w:p w14:paraId="5E12515F" w14:textId="77777777" w:rsidR="0074429A" w:rsidRPr="00D2098A" w:rsidRDefault="00111675" w:rsidP="009714E3">
      <w:pPr>
        <w:rPr>
          <w:rFonts w:asciiTheme="minorHAnsi" w:hAnsiTheme="minorHAnsi"/>
          <w:lang w:val="es-MX"/>
        </w:rPr>
      </w:pPr>
      <w:r w:rsidRPr="00D2098A">
        <w:rPr>
          <w:rFonts w:asciiTheme="minorHAnsi" w:hAnsiTheme="minorHAnsi"/>
        </w:rPr>
        <w:t xml:space="preserve">Por otra parte, dado </w:t>
      </w:r>
      <w:r w:rsidR="002653AE" w:rsidRPr="00D2098A">
        <w:rPr>
          <w:rFonts w:asciiTheme="minorHAnsi" w:hAnsiTheme="minorHAnsi"/>
        </w:rPr>
        <w:t xml:space="preserve">que </w:t>
      </w:r>
      <w:r w:rsidRPr="00D2098A">
        <w:rPr>
          <w:rFonts w:asciiTheme="minorHAnsi" w:hAnsiTheme="minorHAnsi"/>
        </w:rPr>
        <w:t xml:space="preserve">también resulta relevante considerar </w:t>
      </w:r>
      <w:r w:rsidR="00470866" w:rsidRPr="00D2098A">
        <w:rPr>
          <w:rFonts w:asciiTheme="minorHAnsi" w:hAnsiTheme="minorHAnsi"/>
        </w:rPr>
        <w:t>la observancia</w:t>
      </w:r>
      <w:r w:rsidRPr="00D2098A">
        <w:rPr>
          <w:rFonts w:asciiTheme="minorHAnsi" w:hAnsiTheme="minorHAnsi"/>
        </w:rPr>
        <w:t xml:space="preserve"> </w:t>
      </w:r>
      <w:r w:rsidR="00470866" w:rsidRPr="00D2098A">
        <w:rPr>
          <w:rFonts w:asciiTheme="minorHAnsi" w:hAnsiTheme="minorHAnsi"/>
        </w:rPr>
        <w:t>de otras obligaciones que establecen la LTAIPDF</w:t>
      </w:r>
      <w:r w:rsidR="00470866" w:rsidRPr="00D2098A">
        <w:rPr>
          <w:rFonts w:asciiTheme="minorHAnsi" w:hAnsiTheme="minorHAnsi"/>
          <w:b/>
        </w:rPr>
        <w:t xml:space="preserve"> </w:t>
      </w:r>
      <w:r w:rsidR="00470866" w:rsidRPr="00D2098A">
        <w:rPr>
          <w:rFonts w:asciiTheme="minorHAnsi" w:hAnsiTheme="minorHAnsi"/>
        </w:rPr>
        <w:t xml:space="preserve">a los </w:t>
      </w:r>
      <w:r w:rsidR="00F76859" w:rsidRPr="00D2098A">
        <w:rPr>
          <w:rFonts w:asciiTheme="minorHAnsi" w:hAnsiTheme="minorHAnsi"/>
        </w:rPr>
        <w:t>Entes</w:t>
      </w:r>
      <w:r w:rsidR="00470866" w:rsidRPr="00D2098A">
        <w:rPr>
          <w:rFonts w:asciiTheme="minorHAnsi" w:hAnsiTheme="minorHAnsi"/>
        </w:rPr>
        <w:t xml:space="preserve"> </w:t>
      </w:r>
      <w:r w:rsidR="00F76859" w:rsidRPr="00D2098A">
        <w:rPr>
          <w:rFonts w:asciiTheme="minorHAnsi" w:hAnsiTheme="minorHAnsi"/>
        </w:rPr>
        <w:t>O</w:t>
      </w:r>
      <w:r w:rsidR="00470866" w:rsidRPr="00D2098A">
        <w:rPr>
          <w:rFonts w:asciiTheme="minorHAnsi" w:hAnsiTheme="minorHAnsi"/>
        </w:rPr>
        <w:t>bligados, las cuales se realizan a través de los requerimientos del I</w:t>
      </w:r>
      <w:r w:rsidR="00CB060C" w:rsidRPr="00D2098A">
        <w:rPr>
          <w:rFonts w:asciiTheme="minorHAnsi" w:hAnsiTheme="minorHAnsi"/>
        </w:rPr>
        <w:t>nfo</w:t>
      </w:r>
      <w:r w:rsidR="00470866" w:rsidRPr="00D2098A">
        <w:rPr>
          <w:rFonts w:asciiTheme="minorHAnsi" w:hAnsiTheme="minorHAnsi"/>
        </w:rPr>
        <w:t>DF, a este aspecto se le otorga un 20</w:t>
      </w:r>
      <w:r w:rsidR="007628AF" w:rsidRPr="00D2098A">
        <w:rPr>
          <w:rFonts w:asciiTheme="minorHAnsi" w:hAnsiTheme="minorHAnsi"/>
        </w:rPr>
        <w:t xml:space="preserve"> por ciento</w:t>
      </w:r>
      <w:r w:rsidR="00720269" w:rsidRPr="00D2098A">
        <w:rPr>
          <w:rFonts w:asciiTheme="minorHAnsi" w:hAnsiTheme="minorHAnsi"/>
        </w:rPr>
        <w:t>. El restante 20</w:t>
      </w:r>
      <w:r w:rsidR="007628AF" w:rsidRPr="00D2098A">
        <w:rPr>
          <w:rFonts w:asciiTheme="minorHAnsi" w:hAnsiTheme="minorHAnsi"/>
        </w:rPr>
        <w:t xml:space="preserve"> por ciento</w:t>
      </w:r>
      <w:r w:rsidR="00720269" w:rsidRPr="00D2098A">
        <w:rPr>
          <w:rFonts w:asciiTheme="minorHAnsi" w:hAnsiTheme="minorHAnsi"/>
        </w:rPr>
        <w:t xml:space="preserve"> se le otorga a las acciones de capacitación, </w:t>
      </w:r>
      <w:r w:rsidR="00EA5D9F" w:rsidRPr="00D2098A">
        <w:rPr>
          <w:rFonts w:asciiTheme="minorHAnsi" w:hAnsiTheme="minorHAnsi"/>
        </w:rPr>
        <w:t>aspecto también primordial puesto que, en la medida en que haya más funcionarios públicos capacitados en materia de transparencia, más valor le darán al cumplimiento de la Ley, más apoyo tendrán las Oficinas de Información Pública para cumplir con su función, y más se fortalecerá el entramado institucional de la transparencia</w:t>
      </w:r>
      <w:r w:rsidR="009775AC" w:rsidRPr="00D2098A">
        <w:rPr>
          <w:rFonts w:asciiTheme="minorHAnsi" w:hAnsiTheme="minorHAnsi"/>
        </w:rPr>
        <w:t>.</w:t>
      </w:r>
    </w:p>
    <w:p w14:paraId="7FC890D6" w14:textId="77777777" w:rsidR="00E269AD" w:rsidRPr="00D2098A" w:rsidRDefault="00E269AD" w:rsidP="009714E3">
      <w:pPr>
        <w:rPr>
          <w:rFonts w:asciiTheme="minorHAnsi" w:hAnsiTheme="minorHAnsi"/>
          <w:b/>
          <w:lang w:val="es-MX"/>
        </w:rPr>
      </w:pPr>
    </w:p>
    <w:p w14:paraId="4C694E17" w14:textId="77777777" w:rsidR="006D5F58" w:rsidRPr="00D2098A" w:rsidRDefault="006D5F58" w:rsidP="009714E3">
      <w:pPr>
        <w:rPr>
          <w:rFonts w:asciiTheme="minorHAnsi" w:hAnsiTheme="minorHAnsi"/>
          <w:b/>
          <w:lang w:val="es-MX"/>
        </w:rPr>
      </w:pPr>
    </w:p>
    <w:p w14:paraId="7EE59501" w14:textId="77777777" w:rsidR="009714E3" w:rsidRPr="00D2098A" w:rsidRDefault="007C6934" w:rsidP="007E6236">
      <w:pPr>
        <w:pStyle w:val="Prrafodelista"/>
        <w:numPr>
          <w:ilvl w:val="0"/>
          <w:numId w:val="33"/>
        </w:numPr>
        <w:rPr>
          <w:rFonts w:asciiTheme="minorHAnsi" w:hAnsiTheme="minorHAnsi"/>
          <w:b/>
          <w:lang w:val="es-MX"/>
        </w:rPr>
      </w:pPr>
      <w:r w:rsidRPr="00D2098A">
        <w:rPr>
          <w:rFonts w:asciiTheme="minorHAnsi" w:hAnsiTheme="minorHAnsi"/>
          <w:b/>
          <w:lang w:val="es-MX"/>
        </w:rPr>
        <w:t>CRITERIOS Y METODOLOGÍA</w:t>
      </w:r>
    </w:p>
    <w:p w14:paraId="48924099" w14:textId="77777777" w:rsidR="00DE561E" w:rsidRPr="00D2098A" w:rsidRDefault="00DE561E" w:rsidP="009714E3">
      <w:pPr>
        <w:rPr>
          <w:rFonts w:asciiTheme="minorHAnsi" w:hAnsiTheme="minorHAnsi"/>
          <w:b/>
        </w:rPr>
      </w:pPr>
    </w:p>
    <w:p w14:paraId="2DC50387" w14:textId="77777777" w:rsidR="00ED5B4E" w:rsidRPr="00D2098A" w:rsidRDefault="007E6236" w:rsidP="007E6236">
      <w:pPr>
        <w:ind w:left="567" w:hanging="567"/>
        <w:rPr>
          <w:rFonts w:asciiTheme="minorHAnsi" w:hAnsiTheme="minorHAnsi"/>
          <w:b/>
          <w:i/>
        </w:rPr>
      </w:pPr>
      <w:r w:rsidRPr="00D2098A">
        <w:rPr>
          <w:rFonts w:asciiTheme="minorHAnsi" w:hAnsiTheme="minorHAnsi"/>
          <w:b/>
          <w:i/>
        </w:rPr>
        <w:t>IV.</w:t>
      </w:r>
      <w:r w:rsidR="00A87FE4" w:rsidRPr="00D2098A">
        <w:rPr>
          <w:rFonts w:asciiTheme="minorHAnsi" w:hAnsiTheme="minorHAnsi"/>
          <w:b/>
          <w:i/>
        </w:rPr>
        <w:t>1</w:t>
      </w:r>
      <w:r w:rsidR="00DE561E" w:rsidRPr="00D2098A">
        <w:rPr>
          <w:rFonts w:asciiTheme="minorHAnsi" w:hAnsiTheme="minorHAnsi"/>
          <w:b/>
          <w:i/>
        </w:rPr>
        <w:t xml:space="preserve">. </w:t>
      </w:r>
      <w:r w:rsidR="003318DB" w:rsidRPr="00D2098A">
        <w:rPr>
          <w:rFonts w:asciiTheme="minorHAnsi" w:hAnsiTheme="minorHAnsi"/>
          <w:b/>
          <w:bCs/>
          <w:i/>
          <w:iCs/>
          <w:lang w:val="es-MX"/>
        </w:rPr>
        <w:t xml:space="preserve">Índice Global del </w:t>
      </w:r>
      <w:r w:rsidR="006D5F58" w:rsidRPr="00D2098A">
        <w:rPr>
          <w:rFonts w:asciiTheme="minorHAnsi" w:hAnsiTheme="minorHAnsi"/>
          <w:b/>
          <w:bCs/>
          <w:i/>
          <w:iCs/>
          <w:lang w:val="es-MX"/>
        </w:rPr>
        <w:t>C</w:t>
      </w:r>
      <w:r w:rsidR="003318DB" w:rsidRPr="00D2098A">
        <w:rPr>
          <w:rFonts w:asciiTheme="minorHAnsi" w:hAnsiTheme="minorHAnsi"/>
          <w:b/>
          <w:bCs/>
          <w:i/>
          <w:iCs/>
          <w:lang w:val="es-MX"/>
        </w:rPr>
        <w:t xml:space="preserve">umplimiento de las Obligaciones de Transparencia </w:t>
      </w:r>
      <w:r w:rsidR="003318DB" w:rsidRPr="00D2098A">
        <w:rPr>
          <w:rFonts w:asciiTheme="minorHAnsi" w:hAnsiTheme="minorHAnsi"/>
          <w:b/>
          <w:i/>
          <w:lang w:val="es-MX"/>
        </w:rPr>
        <w:t>(Portales de Internet)</w:t>
      </w:r>
      <w:r w:rsidR="00ED5B4E" w:rsidRPr="00D2098A">
        <w:rPr>
          <w:rFonts w:asciiTheme="minorHAnsi" w:hAnsiTheme="minorHAnsi"/>
          <w:b/>
          <w:i/>
        </w:rPr>
        <w:t>.</w:t>
      </w:r>
    </w:p>
    <w:p w14:paraId="7A2512A1" w14:textId="77777777" w:rsidR="00A87FE4" w:rsidRPr="00D2098A" w:rsidRDefault="00A87FE4" w:rsidP="009714E3">
      <w:pPr>
        <w:rPr>
          <w:rFonts w:asciiTheme="minorHAnsi" w:hAnsiTheme="minorHAnsi"/>
          <w:b/>
        </w:rPr>
      </w:pPr>
    </w:p>
    <w:p w14:paraId="7B489A5A" w14:textId="77777777" w:rsidR="00235238" w:rsidRPr="00D2098A" w:rsidRDefault="00235238" w:rsidP="00235238">
      <w:pPr>
        <w:pStyle w:val="Prrafodelista"/>
        <w:numPr>
          <w:ilvl w:val="0"/>
          <w:numId w:val="29"/>
        </w:numPr>
        <w:rPr>
          <w:rFonts w:asciiTheme="minorHAnsi" w:hAnsiTheme="minorHAnsi"/>
          <w:b/>
          <w:i/>
        </w:rPr>
      </w:pPr>
      <w:r w:rsidRPr="00D2098A">
        <w:rPr>
          <w:rFonts w:asciiTheme="minorHAnsi" w:hAnsiTheme="minorHAnsi"/>
          <w:b/>
          <w:i/>
        </w:rPr>
        <w:t xml:space="preserve">Para Entes </w:t>
      </w:r>
      <w:r w:rsidR="00B75132" w:rsidRPr="00D2098A">
        <w:rPr>
          <w:rFonts w:asciiTheme="minorHAnsi" w:hAnsiTheme="minorHAnsi"/>
          <w:b/>
          <w:i/>
        </w:rPr>
        <w:t>Obligados</w:t>
      </w:r>
      <w:r w:rsidR="00CB060C" w:rsidRPr="00D2098A">
        <w:rPr>
          <w:rFonts w:asciiTheme="minorHAnsi" w:hAnsiTheme="minorHAnsi"/>
          <w:b/>
          <w:i/>
        </w:rPr>
        <w:t>.</w:t>
      </w:r>
    </w:p>
    <w:p w14:paraId="2B56763E" w14:textId="77777777" w:rsidR="006F1E4C" w:rsidRPr="00D2098A" w:rsidRDefault="006F1E4C" w:rsidP="00ED5B4E">
      <w:pPr>
        <w:autoSpaceDE w:val="0"/>
        <w:autoSpaceDN w:val="0"/>
        <w:adjustRightInd w:val="0"/>
        <w:rPr>
          <w:rFonts w:asciiTheme="minorHAnsi" w:hAnsiTheme="minorHAnsi"/>
          <w:lang w:val="es-MX"/>
        </w:rPr>
      </w:pPr>
    </w:p>
    <w:p w14:paraId="2F02F2A1" w14:textId="77777777" w:rsidR="003318DB" w:rsidRPr="00D2098A" w:rsidRDefault="00841BB4" w:rsidP="00ED5B4E">
      <w:pPr>
        <w:autoSpaceDE w:val="0"/>
        <w:autoSpaceDN w:val="0"/>
        <w:adjustRightInd w:val="0"/>
        <w:rPr>
          <w:rFonts w:asciiTheme="minorHAnsi" w:hAnsiTheme="minorHAnsi" w:cs="Arial"/>
          <w:lang w:val="es-MX"/>
        </w:rPr>
      </w:pPr>
      <w:r w:rsidRPr="00D2098A">
        <w:rPr>
          <w:rFonts w:asciiTheme="minorHAnsi" w:hAnsiTheme="minorHAnsi"/>
          <w:lang w:val="es-MX"/>
        </w:rPr>
        <w:t>E</w:t>
      </w:r>
      <w:r w:rsidR="00511E5D" w:rsidRPr="00D2098A">
        <w:rPr>
          <w:rFonts w:asciiTheme="minorHAnsi" w:hAnsiTheme="minorHAnsi"/>
          <w:lang w:val="es-MX"/>
        </w:rPr>
        <w:t xml:space="preserve">n </w:t>
      </w:r>
      <w:r w:rsidR="009718DC" w:rsidRPr="00D2098A">
        <w:rPr>
          <w:rFonts w:asciiTheme="minorHAnsi" w:hAnsiTheme="minorHAnsi"/>
          <w:lang w:val="es-MX"/>
        </w:rPr>
        <w:t xml:space="preserve">este </w:t>
      </w:r>
      <w:r w:rsidR="0080149B" w:rsidRPr="00D2098A">
        <w:rPr>
          <w:rFonts w:asciiTheme="minorHAnsi" w:hAnsiTheme="minorHAnsi"/>
          <w:lang w:val="es-MX"/>
        </w:rPr>
        <w:t>aspecto, relativo a</w:t>
      </w:r>
      <w:r w:rsidR="00511E5D" w:rsidRPr="00D2098A">
        <w:rPr>
          <w:rFonts w:asciiTheme="minorHAnsi" w:hAnsiTheme="minorHAnsi"/>
          <w:lang w:val="es-MX"/>
        </w:rPr>
        <w:t>l</w:t>
      </w:r>
      <w:r w:rsidR="00E8330C" w:rsidRPr="00D2098A">
        <w:rPr>
          <w:rFonts w:asciiTheme="minorHAnsi" w:hAnsiTheme="minorHAnsi"/>
          <w:lang w:val="es-MX"/>
        </w:rPr>
        <w:t xml:space="preserve"> </w:t>
      </w:r>
      <w:r w:rsidR="0066363C" w:rsidRPr="00D2098A">
        <w:rPr>
          <w:rFonts w:asciiTheme="minorHAnsi" w:hAnsiTheme="minorHAnsi"/>
          <w:b/>
          <w:lang w:val="es-MX"/>
        </w:rPr>
        <w:t xml:space="preserve">Índice Global del Cumplimiento de las Obligaciones de Transparencia </w:t>
      </w:r>
      <w:r w:rsidR="00322291" w:rsidRPr="00D2098A">
        <w:rPr>
          <w:rFonts w:asciiTheme="minorHAnsi" w:hAnsiTheme="minorHAnsi"/>
          <w:b/>
          <w:lang w:val="es-MX"/>
        </w:rPr>
        <w:t>(</w:t>
      </w:r>
      <w:r w:rsidR="00322291" w:rsidRPr="00D2098A">
        <w:rPr>
          <w:rFonts w:asciiTheme="minorHAnsi" w:hAnsiTheme="minorHAnsi"/>
          <w:b/>
          <w:i/>
          <w:lang w:val="es-MX"/>
        </w:rPr>
        <w:t>IG</w:t>
      </w:r>
      <w:r w:rsidR="0066363C" w:rsidRPr="00D2098A">
        <w:rPr>
          <w:rFonts w:asciiTheme="minorHAnsi" w:hAnsiTheme="minorHAnsi"/>
          <w:b/>
          <w:i/>
          <w:vertAlign w:val="subscript"/>
          <w:lang w:val="es-MX"/>
        </w:rPr>
        <w:t>COT</w:t>
      </w:r>
      <w:r w:rsidR="00322291" w:rsidRPr="00D2098A">
        <w:rPr>
          <w:rFonts w:asciiTheme="minorHAnsi" w:hAnsiTheme="minorHAnsi"/>
          <w:b/>
          <w:lang w:val="es-MX"/>
        </w:rPr>
        <w:t>)</w:t>
      </w:r>
      <w:r w:rsidR="00511E5D" w:rsidRPr="00D2098A">
        <w:rPr>
          <w:rFonts w:asciiTheme="minorHAnsi" w:hAnsiTheme="minorHAnsi"/>
          <w:b/>
          <w:lang w:val="es-MX"/>
        </w:rPr>
        <w:t>,</w:t>
      </w:r>
      <w:r w:rsidR="00511E5D" w:rsidRPr="00D2098A">
        <w:rPr>
          <w:rFonts w:asciiTheme="minorHAnsi" w:hAnsiTheme="minorHAnsi"/>
          <w:lang w:val="es-MX"/>
        </w:rPr>
        <w:t xml:space="preserve"> </w:t>
      </w:r>
      <w:r w:rsidR="00771A1D" w:rsidRPr="00D2098A">
        <w:rPr>
          <w:rFonts w:asciiTheme="minorHAnsi" w:hAnsiTheme="minorHAnsi"/>
          <w:lang w:val="es-MX"/>
        </w:rPr>
        <w:t>que representa el 30</w:t>
      </w:r>
      <w:r w:rsidR="007628AF" w:rsidRPr="00D2098A">
        <w:rPr>
          <w:rFonts w:asciiTheme="minorHAnsi" w:hAnsiTheme="minorHAnsi"/>
          <w:lang w:val="es-MX"/>
        </w:rPr>
        <w:t xml:space="preserve"> por ciento</w:t>
      </w:r>
      <w:r w:rsidR="00771A1D" w:rsidRPr="00D2098A">
        <w:rPr>
          <w:rFonts w:asciiTheme="minorHAnsi" w:hAnsiTheme="minorHAnsi"/>
          <w:lang w:val="es-MX"/>
        </w:rPr>
        <w:t xml:space="preserve"> del </w:t>
      </w:r>
      <w:r w:rsidR="00771A1D" w:rsidRPr="00D2098A">
        <w:rPr>
          <w:rFonts w:asciiTheme="minorHAnsi" w:hAnsiTheme="minorHAnsi"/>
          <w:i/>
          <w:lang w:val="es-MX"/>
        </w:rPr>
        <w:t xml:space="preserve">Índice </w:t>
      </w:r>
      <w:r w:rsidR="00731B68" w:rsidRPr="00D2098A">
        <w:rPr>
          <w:rFonts w:asciiTheme="minorHAnsi" w:hAnsiTheme="minorHAnsi"/>
          <w:i/>
          <w:lang w:val="es-MX"/>
        </w:rPr>
        <w:t xml:space="preserve">Compuesto </w:t>
      </w:r>
      <w:r w:rsidR="00771A1D" w:rsidRPr="00D2098A">
        <w:rPr>
          <w:rFonts w:asciiTheme="minorHAnsi" w:hAnsiTheme="minorHAnsi"/>
          <w:i/>
          <w:lang w:val="es-MX"/>
        </w:rPr>
        <w:t>de Mejores Prácticas de Transparencia</w:t>
      </w:r>
      <w:r w:rsidR="00771A1D" w:rsidRPr="00D2098A">
        <w:rPr>
          <w:rFonts w:asciiTheme="minorHAnsi" w:hAnsiTheme="minorHAnsi"/>
          <w:lang w:val="es-MX"/>
        </w:rPr>
        <w:t xml:space="preserve">, </w:t>
      </w:r>
      <w:r w:rsidR="00E8330C" w:rsidRPr="00D2098A">
        <w:rPr>
          <w:rFonts w:asciiTheme="minorHAnsi" w:hAnsiTheme="minorHAnsi"/>
          <w:lang w:val="es-MX"/>
        </w:rPr>
        <w:t xml:space="preserve">se </w:t>
      </w:r>
      <w:r w:rsidR="001654F3" w:rsidRPr="00D2098A">
        <w:rPr>
          <w:rFonts w:asciiTheme="minorHAnsi" w:hAnsiTheme="minorHAnsi"/>
          <w:lang w:val="es-MX"/>
        </w:rPr>
        <w:t>utilizar</w:t>
      </w:r>
      <w:r w:rsidR="003318DB" w:rsidRPr="00D2098A">
        <w:rPr>
          <w:rFonts w:asciiTheme="minorHAnsi" w:hAnsiTheme="minorHAnsi"/>
          <w:lang w:val="es-MX"/>
        </w:rPr>
        <w:t>á</w:t>
      </w:r>
      <w:r w:rsidR="00235238" w:rsidRPr="00D2098A">
        <w:rPr>
          <w:rFonts w:asciiTheme="minorHAnsi" w:hAnsiTheme="minorHAnsi"/>
          <w:lang w:val="es-MX"/>
        </w:rPr>
        <w:t xml:space="preserve"> el resultado obtenido en</w:t>
      </w:r>
      <w:r w:rsidRPr="00D2098A">
        <w:rPr>
          <w:rFonts w:asciiTheme="minorHAnsi" w:hAnsiTheme="minorHAnsi"/>
          <w:lang w:val="es-MX"/>
        </w:rPr>
        <w:t xml:space="preserve"> la</w:t>
      </w:r>
      <w:r w:rsidR="0066363C" w:rsidRPr="00D2098A">
        <w:rPr>
          <w:rFonts w:asciiTheme="minorHAnsi" w:hAnsiTheme="minorHAnsi"/>
          <w:lang w:val="es-MX"/>
        </w:rPr>
        <w:t>s</w:t>
      </w:r>
      <w:r w:rsidRPr="00D2098A">
        <w:rPr>
          <w:rFonts w:asciiTheme="minorHAnsi" w:hAnsiTheme="minorHAnsi"/>
          <w:lang w:val="es-MX"/>
        </w:rPr>
        <w:t xml:space="preserve"> </w:t>
      </w:r>
      <w:r w:rsidR="00FE4617" w:rsidRPr="00D2098A">
        <w:rPr>
          <w:rFonts w:asciiTheme="minorHAnsi" w:hAnsiTheme="minorHAnsi"/>
          <w:lang w:val="es-MX"/>
        </w:rPr>
        <w:t>evaluaci</w:t>
      </w:r>
      <w:r w:rsidR="0066363C" w:rsidRPr="00D2098A">
        <w:rPr>
          <w:rFonts w:asciiTheme="minorHAnsi" w:hAnsiTheme="minorHAnsi"/>
          <w:lang w:val="es-MX"/>
        </w:rPr>
        <w:t xml:space="preserve">ones </w:t>
      </w:r>
      <w:r w:rsidR="00322291" w:rsidRPr="00D2098A">
        <w:rPr>
          <w:rFonts w:asciiTheme="minorHAnsi" w:hAnsiTheme="minorHAnsi"/>
          <w:lang w:val="es-MX"/>
        </w:rPr>
        <w:t xml:space="preserve">que </w:t>
      </w:r>
      <w:r w:rsidR="00F8548F" w:rsidRPr="00D2098A">
        <w:rPr>
          <w:rFonts w:asciiTheme="minorHAnsi" w:hAnsiTheme="minorHAnsi"/>
          <w:lang w:val="es-MX"/>
        </w:rPr>
        <w:t xml:space="preserve">lleve a cabo </w:t>
      </w:r>
      <w:r w:rsidR="003318DB" w:rsidRPr="00D2098A">
        <w:rPr>
          <w:rFonts w:asciiTheme="minorHAnsi" w:hAnsiTheme="minorHAnsi"/>
          <w:lang w:val="es-MX"/>
        </w:rPr>
        <w:t>el I</w:t>
      </w:r>
      <w:r w:rsidR="0066363C" w:rsidRPr="00D2098A">
        <w:rPr>
          <w:rFonts w:asciiTheme="minorHAnsi" w:hAnsiTheme="minorHAnsi"/>
          <w:lang w:val="es-MX"/>
        </w:rPr>
        <w:t>nfo</w:t>
      </w:r>
      <w:r w:rsidR="003318DB" w:rsidRPr="00D2098A">
        <w:rPr>
          <w:rFonts w:asciiTheme="minorHAnsi" w:hAnsiTheme="minorHAnsi"/>
          <w:lang w:val="es-MX"/>
        </w:rPr>
        <w:t>DF durante el ejercicio 20</w:t>
      </w:r>
      <w:r w:rsidR="002653AE" w:rsidRPr="00D2098A">
        <w:rPr>
          <w:rFonts w:asciiTheme="minorHAnsi" w:hAnsiTheme="minorHAnsi"/>
          <w:lang w:val="es-MX"/>
        </w:rPr>
        <w:t>1</w:t>
      </w:r>
      <w:r w:rsidR="008E6DAA" w:rsidRPr="00D2098A">
        <w:rPr>
          <w:rFonts w:asciiTheme="minorHAnsi" w:hAnsiTheme="minorHAnsi"/>
          <w:lang w:val="es-MX"/>
        </w:rPr>
        <w:t>4</w:t>
      </w:r>
      <w:r w:rsidR="003318DB" w:rsidRPr="00D2098A">
        <w:rPr>
          <w:rFonts w:asciiTheme="minorHAnsi" w:hAnsiTheme="minorHAnsi"/>
          <w:lang w:val="es-MX"/>
        </w:rPr>
        <w:t xml:space="preserve">, </w:t>
      </w:r>
      <w:r w:rsidR="00ED5B4E" w:rsidRPr="00D2098A">
        <w:rPr>
          <w:rFonts w:asciiTheme="minorHAnsi" w:hAnsiTheme="minorHAnsi" w:cs="Arial"/>
          <w:lang w:val="es-MX"/>
        </w:rPr>
        <w:t xml:space="preserve">de acuerdo a lo establecido en los </w:t>
      </w:r>
      <w:r w:rsidR="00ED5B4E" w:rsidRPr="00D2098A">
        <w:rPr>
          <w:rFonts w:asciiTheme="minorHAnsi" w:hAnsiTheme="minorHAnsi" w:cs="Arial"/>
          <w:b/>
          <w:lang w:val="es-MX"/>
        </w:rPr>
        <w:t>“</w:t>
      </w:r>
      <w:r w:rsidR="0066363C" w:rsidRPr="00D2098A">
        <w:rPr>
          <w:rFonts w:asciiTheme="minorHAnsi" w:hAnsiTheme="minorHAnsi" w:cs="Arial"/>
          <w:b/>
          <w:lang w:val="es-MX"/>
        </w:rPr>
        <w:t>Criterios y metodología de evaluación de la información pública de oficio que deben dar a conocer los Entes Obligados en sus portales de Internet</w:t>
      </w:r>
      <w:r w:rsidR="00ED5B4E" w:rsidRPr="00D2098A">
        <w:rPr>
          <w:rFonts w:asciiTheme="minorHAnsi" w:hAnsiTheme="minorHAnsi" w:cs="Arial"/>
          <w:b/>
          <w:lang w:val="es-MX"/>
        </w:rPr>
        <w:t>”</w:t>
      </w:r>
      <w:r w:rsidR="00FE5C35" w:rsidRPr="00D2098A">
        <w:rPr>
          <w:rFonts w:asciiTheme="minorHAnsi" w:hAnsiTheme="minorHAnsi" w:cs="Arial"/>
          <w:lang w:val="es-MX"/>
        </w:rPr>
        <w:t xml:space="preserve">, aprobados mediante </w:t>
      </w:r>
      <w:r w:rsidR="00322291" w:rsidRPr="00D2098A">
        <w:rPr>
          <w:rFonts w:asciiTheme="minorHAnsi" w:hAnsiTheme="minorHAnsi" w:cs="Arial"/>
          <w:lang w:val="es-MX"/>
        </w:rPr>
        <w:t xml:space="preserve">el </w:t>
      </w:r>
      <w:r w:rsidR="0066363C" w:rsidRPr="00D2098A">
        <w:rPr>
          <w:rFonts w:asciiTheme="minorHAnsi" w:hAnsiTheme="minorHAnsi" w:cs="Arial"/>
          <w:lang w:val="es-MX"/>
        </w:rPr>
        <w:t>a</w:t>
      </w:r>
      <w:r w:rsidR="00322291" w:rsidRPr="00D2098A">
        <w:rPr>
          <w:rFonts w:asciiTheme="minorHAnsi" w:hAnsiTheme="minorHAnsi" w:cs="Arial"/>
          <w:lang w:val="es-MX"/>
        </w:rPr>
        <w:t xml:space="preserve">cuerdo del </w:t>
      </w:r>
      <w:r w:rsidR="00112C53" w:rsidRPr="00D2098A">
        <w:rPr>
          <w:rFonts w:asciiTheme="minorHAnsi" w:hAnsiTheme="minorHAnsi" w:cs="Arial"/>
          <w:lang w:val="es-MX"/>
        </w:rPr>
        <w:t>Pleno del InfoDF 1265/SO/14-11/2012</w:t>
      </w:r>
      <w:r w:rsidR="00322291" w:rsidRPr="00D2098A">
        <w:rPr>
          <w:rFonts w:asciiTheme="minorHAnsi" w:hAnsiTheme="minorHAnsi" w:cs="Arial"/>
          <w:lang w:val="es-MX"/>
        </w:rPr>
        <w:t>.</w:t>
      </w:r>
    </w:p>
    <w:p w14:paraId="1F22D69E" w14:textId="77777777" w:rsidR="003318DB" w:rsidRPr="00D2098A" w:rsidRDefault="003318DB" w:rsidP="00ED5B4E">
      <w:pPr>
        <w:autoSpaceDE w:val="0"/>
        <w:autoSpaceDN w:val="0"/>
        <w:adjustRightInd w:val="0"/>
        <w:rPr>
          <w:rFonts w:asciiTheme="minorHAnsi" w:hAnsiTheme="minorHAnsi"/>
          <w:lang w:val="es-MX"/>
        </w:rPr>
      </w:pPr>
    </w:p>
    <w:p w14:paraId="169033DB" w14:textId="77777777" w:rsidR="0034414F" w:rsidRPr="00D2098A" w:rsidRDefault="0034414F" w:rsidP="0034414F">
      <w:pPr>
        <w:rPr>
          <w:rFonts w:asciiTheme="minorHAnsi" w:hAnsiTheme="minorHAnsi"/>
          <w:bCs/>
        </w:rPr>
      </w:pPr>
      <w:r w:rsidRPr="00D2098A">
        <w:rPr>
          <w:rFonts w:asciiTheme="minorHAnsi" w:hAnsiTheme="minorHAnsi" w:cs="Arial"/>
          <w:lang w:val="es-MX"/>
        </w:rPr>
        <w:t xml:space="preserve">Los </w:t>
      </w:r>
      <w:r w:rsidRPr="00D2098A">
        <w:rPr>
          <w:rFonts w:asciiTheme="minorHAnsi" w:hAnsiTheme="minorHAnsi" w:cs="Arial"/>
          <w:b/>
          <w:lang w:val="es-MX"/>
        </w:rPr>
        <w:t>“</w:t>
      </w:r>
      <w:r w:rsidRPr="00D2098A">
        <w:rPr>
          <w:rFonts w:asciiTheme="minorHAnsi" w:hAnsiTheme="minorHAnsi" w:cs="Arial"/>
          <w:b/>
          <w:i/>
          <w:lang w:val="es-MX"/>
        </w:rPr>
        <w:t xml:space="preserve">Criterios y metodología de evaluación de la información pública de oficio que deben dar a conocer los Entes </w:t>
      </w:r>
      <w:r w:rsidR="007628AF" w:rsidRPr="00D2098A">
        <w:rPr>
          <w:rFonts w:asciiTheme="minorHAnsi" w:hAnsiTheme="minorHAnsi" w:cs="Arial"/>
          <w:b/>
          <w:i/>
          <w:lang w:val="es-MX"/>
        </w:rPr>
        <w:t>Obligados</w:t>
      </w:r>
      <w:r w:rsidRPr="00D2098A">
        <w:rPr>
          <w:rFonts w:asciiTheme="minorHAnsi" w:hAnsiTheme="minorHAnsi" w:cs="Arial"/>
          <w:b/>
          <w:i/>
          <w:lang w:val="es-MX"/>
        </w:rPr>
        <w:t xml:space="preserve"> en sus portales de Internet</w:t>
      </w:r>
      <w:r w:rsidRPr="00D2098A">
        <w:rPr>
          <w:rFonts w:asciiTheme="minorHAnsi" w:hAnsiTheme="minorHAnsi" w:cs="Arial"/>
          <w:b/>
          <w:lang w:val="es-MX"/>
        </w:rPr>
        <w:t>”</w:t>
      </w:r>
      <w:r w:rsidRPr="00D2098A">
        <w:rPr>
          <w:rFonts w:asciiTheme="minorHAnsi" w:hAnsiTheme="minorHAnsi" w:cs="Arial"/>
          <w:lang w:val="es-MX"/>
        </w:rPr>
        <w:t xml:space="preserve"> </w:t>
      </w:r>
      <w:r w:rsidRPr="00D2098A">
        <w:rPr>
          <w:rFonts w:asciiTheme="minorHAnsi" w:hAnsiTheme="minorHAnsi"/>
          <w:bCs/>
        </w:rPr>
        <w:t xml:space="preserve">contemplan índices compuestos tanto en los </w:t>
      </w:r>
      <w:r w:rsidRPr="00D2098A">
        <w:rPr>
          <w:rFonts w:asciiTheme="minorHAnsi" w:hAnsiTheme="minorHAnsi"/>
          <w:bCs/>
          <w:i/>
        </w:rPr>
        <w:t>criterios sustantivos</w:t>
      </w:r>
      <w:r w:rsidRPr="00D2098A">
        <w:rPr>
          <w:rFonts w:asciiTheme="minorHAnsi" w:hAnsiTheme="minorHAnsi"/>
          <w:bCs/>
        </w:rPr>
        <w:t xml:space="preserve"> como en los </w:t>
      </w:r>
      <w:r w:rsidRPr="00D2098A">
        <w:rPr>
          <w:rFonts w:asciiTheme="minorHAnsi" w:hAnsiTheme="minorHAnsi"/>
          <w:bCs/>
          <w:i/>
        </w:rPr>
        <w:t>adjetivos</w:t>
      </w:r>
      <w:r w:rsidRPr="00D2098A">
        <w:rPr>
          <w:rFonts w:asciiTheme="minorHAnsi" w:hAnsiTheme="minorHAnsi"/>
          <w:bCs/>
        </w:rPr>
        <w:t xml:space="preserve">, que reflejan, en forma sintética, el cumplimiento de ambos conjuntos de obligaciones. Estos Índices compuestos servirán de base para obtener el </w:t>
      </w:r>
      <w:r w:rsidR="00DB3D7A" w:rsidRPr="00D2098A">
        <w:rPr>
          <w:rFonts w:asciiTheme="minorHAnsi" w:hAnsiTheme="minorHAnsi"/>
          <w:b/>
          <w:lang w:val="es-MX"/>
        </w:rPr>
        <w:t>Índice Global del Cumplimiento de la Información de Oficio (</w:t>
      </w:r>
      <w:r w:rsidR="00DB3D7A" w:rsidRPr="00D2098A">
        <w:rPr>
          <w:rFonts w:asciiTheme="minorHAnsi" w:hAnsiTheme="minorHAnsi"/>
          <w:b/>
          <w:i/>
          <w:lang w:val="es-MX"/>
        </w:rPr>
        <w:t>IG</w:t>
      </w:r>
      <w:r w:rsidR="00DB3D7A" w:rsidRPr="00D2098A">
        <w:rPr>
          <w:rFonts w:asciiTheme="minorHAnsi" w:hAnsiTheme="minorHAnsi"/>
          <w:b/>
          <w:i/>
          <w:vertAlign w:val="subscript"/>
          <w:lang w:val="es-MX"/>
        </w:rPr>
        <w:t>OF</w:t>
      </w:r>
      <w:r w:rsidR="00DB3D7A" w:rsidRPr="00D2098A">
        <w:rPr>
          <w:rFonts w:asciiTheme="minorHAnsi" w:hAnsiTheme="minorHAnsi"/>
          <w:b/>
          <w:lang w:val="es-MX"/>
        </w:rPr>
        <w:t xml:space="preserve">) </w:t>
      </w:r>
      <w:r w:rsidRPr="00D2098A">
        <w:rPr>
          <w:rFonts w:asciiTheme="minorHAnsi" w:hAnsiTheme="minorHAnsi"/>
          <w:bCs/>
        </w:rPr>
        <w:t xml:space="preserve">que, a través de un solo valor, dará cuenta del cumplimiento de la publicación de la información de oficio en las páginas de internet de los Entes </w:t>
      </w:r>
      <w:r w:rsidR="00322291" w:rsidRPr="00D2098A">
        <w:rPr>
          <w:rFonts w:asciiTheme="minorHAnsi" w:hAnsiTheme="minorHAnsi"/>
          <w:bCs/>
        </w:rPr>
        <w:t>Obligados</w:t>
      </w:r>
      <w:r w:rsidRPr="00D2098A">
        <w:rPr>
          <w:rFonts w:asciiTheme="minorHAnsi" w:hAnsiTheme="minorHAnsi"/>
          <w:bCs/>
        </w:rPr>
        <w:t>, de acuerdo a la siguiente fórmula:</w:t>
      </w:r>
    </w:p>
    <w:p w14:paraId="352224D6" w14:textId="77777777" w:rsidR="0034414F" w:rsidRPr="00D2098A" w:rsidRDefault="0034414F" w:rsidP="0034414F">
      <w:pPr>
        <w:rPr>
          <w:rFonts w:asciiTheme="minorHAnsi" w:hAnsiTheme="minorHAnsi"/>
          <w:b/>
        </w:rPr>
      </w:pPr>
    </w:p>
    <w:p w14:paraId="79EBFC22" w14:textId="77777777" w:rsidR="00BE3E87" w:rsidRPr="00D2098A" w:rsidRDefault="00BE3E87" w:rsidP="00BE3E87">
      <w:pPr>
        <w:ind w:left="567"/>
        <w:rPr>
          <w:rFonts w:asciiTheme="minorHAnsi" w:hAnsiTheme="minorHAnsi"/>
          <w:b/>
        </w:rPr>
      </w:pPr>
      <w:r w:rsidRPr="00D2098A">
        <w:rPr>
          <w:rFonts w:asciiTheme="minorHAnsi" w:hAnsiTheme="minorHAnsi"/>
          <w:b/>
          <w:i/>
        </w:rPr>
        <w:t>IG</w:t>
      </w:r>
      <w:r w:rsidRPr="00D2098A">
        <w:rPr>
          <w:rFonts w:asciiTheme="minorHAnsi" w:hAnsiTheme="minorHAnsi"/>
          <w:b/>
          <w:i/>
          <w:vertAlign w:val="subscript"/>
        </w:rPr>
        <w:t>OF</w:t>
      </w:r>
      <w:r w:rsidRPr="00D2098A">
        <w:rPr>
          <w:rFonts w:asciiTheme="minorHAnsi" w:hAnsiTheme="minorHAnsi"/>
          <w:b/>
          <w:vertAlign w:val="subscript"/>
        </w:rPr>
        <w:t xml:space="preserve"> </w:t>
      </w:r>
      <w:r w:rsidRPr="00D2098A">
        <w:rPr>
          <w:rFonts w:asciiTheme="minorHAnsi" w:hAnsiTheme="minorHAnsi"/>
          <w:b/>
        </w:rPr>
        <w:t xml:space="preserve">= (0.8) </w:t>
      </w:r>
      <w:r w:rsidRPr="00D2098A">
        <w:rPr>
          <w:rFonts w:asciiTheme="minorHAnsi" w:hAnsiTheme="minorHAnsi"/>
          <w:b/>
          <w:i/>
        </w:rPr>
        <w:t>IC</w:t>
      </w:r>
      <w:r w:rsidRPr="00D2098A">
        <w:rPr>
          <w:rFonts w:asciiTheme="minorHAnsi" w:hAnsiTheme="minorHAnsi"/>
          <w:b/>
          <w:i/>
          <w:vertAlign w:val="subscript"/>
        </w:rPr>
        <w:t>CS</w:t>
      </w:r>
      <w:r w:rsidRPr="00D2098A">
        <w:rPr>
          <w:rFonts w:asciiTheme="minorHAnsi" w:hAnsiTheme="minorHAnsi"/>
          <w:b/>
        </w:rPr>
        <w:t xml:space="preserve"> + (0.2) </w:t>
      </w:r>
      <w:r w:rsidRPr="00D2098A">
        <w:rPr>
          <w:rFonts w:asciiTheme="minorHAnsi" w:hAnsiTheme="minorHAnsi"/>
          <w:b/>
          <w:i/>
        </w:rPr>
        <w:t>IC</w:t>
      </w:r>
      <w:r w:rsidRPr="00D2098A">
        <w:rPr>
          <w:rFonts w:asciiTheme="minorHAnsi" w:hAnsiTheme="minorHAnsi"/>
          <w:b/>
          <w:i/>
          <w:vertAlign w:val="subscript"/>
        </w:rPr>
        <w:t>CA</w:t>
      </w:r>
    </w:p>
    <w:p w14:paraId="6D348EBF" w14:textId="77777777" w:rsidR="00BE3E87" w:rsidRPr="00D2098A" w:rsidRDefault="00BE3E87" w:rsidP="0034414F">
      <w:pPr>
        <w:rPr>
          <w:rFonts w:asciiTheme="minorHAnsi" w:hAnsiTheme="minorHAnsi"/>
          <w:b/>
        </w:rPr>
      </w:pPr>
    </w:p>
    <w:p w14:paraId="145532E5" w14:textId="77777777" w:rsidR="0034414F" w:rsidRPr="00D2098A" w:rsidRDefault="0034414F" w:rsidP="0034414F">
      <w:pPr>
        <w:rPr>
          <w:rFonts w:asciiTheme="minorHAnsi" w:hAnsiTheme="minorHAnsi"/>
          <w:b/>
        </w:rPr>
      </w:pPr>
      <w:r w:rsidRPr="00D2098A">
        <w:rPr>
          <w:rFonts w:asciiTheme="minorHAnsi" w:hAnsiTheme="minorHAnsi"/>
          <w:b/>
        </w:rPr>
        <w:t>Donde:</w:t>
      </w:r>
    </w:p>
    <w:p w14:paraId="238E3843" w14:textId="77777777" w:rsidR="0034414F" w:rsidRPr="00D2098A" w:rsidRDefault="0034414F" w:rsidP="0034414F">
      <w:pPr>
        <w:rPr>
          <w:rFonts w:asciiTheme="minorHAnsi" w:hAnsiTheme="minorHAnsi"/>
        </w:rPr>
      </w:pPr>
    </w:p>
    <w:p w14:paraId="2211173E" w14:textId="77777777" w:rsidR="00322291" w:rsidRPr="00D2098A" w:rsidRDefault="00BE3E87" w:rsidP="00322291">
      <w:pPr>
        <w:rPr>
          <w:rFonts w:asciiTheme="minorHAnsi" w:hAnsiTheme="minorHAnsi"/>
          <w:bCs/>
        </w:rPr>
      </w:pPr>
      <w:r w:rsidRPr="00D2098A">
        <w:rPr>
          <w:rFonts w:asciiTheme="minorHAnsi" w:hAnsiTheme="minorHAnsi"/>
          <w:b/>
          <w:i/>
        </w:rPr>
        <w:t>IG</w:t>
      </w:r>
      <w:r w:rsidRPr="00D2098A">
        <w:rPr>
          <w:rFonts w:asciiTheme="minorHAnsi" w:hAnsiTheme="minorHAnsi"/>
          <w:b/>
          <w:i/>
          <w:vertAlign w:val="subscript"/>
        </w:rPr>
        <w:t xml:space="preserve">OF </w:t>
      </w:r>
      <w:r w:rsidR="00805DF9" w:rsidRPr="00D2098A">
        <w:rPr>
          <w:rFonts w:asciiTheme="minorHAnsi" w:hAnsiTheme="minorHAnsi" w:cs="Arial"/>
          <w:b/>
        </w:rPr>
        <w:fldChar w:fldCharType="begin"/>
      </w:r>
      <w:r w:rsidR="00805DF9" w:rsidRPr="00D2098A">
        <w:rPr>
          <w:rFonts w:asciiTheme="minorHAnsi" w:hAnsiTheme="minorHAnsi" w:cs="Arial"/>
          <w:b/>
        </w:rPr>
        <w:instrText xml:space="preserve"> QUOTE </w:instrText>
      </w:r>
      <m:oMath>
        <m:sSub>
          <m:sSubPr>
            <m:ctrlPr>
              <w:rPr>
                <w:rFonts w:ascii="Cambria Math" w:hAnsi="Cambria Math" w:cs="Arial"/>
                <w:b/>
              </w:rPr>
            </m:ctrlPr>
          </m:sSubPr>
          <m:e>
            <m:r>
              <m:rPr>
                <m:sty m:val="p"/>
              </m:rPr>
              <w:rPr>
                <w:rFonts w:ascii="Cambria Math" w:hAnsi="Cambria Math" w:cs="Arial"/>
              </w:rPr>
              <m:t>IG</m:t>
            </m:r>
          </m:e>
          <m:sub>
            <m:r>
              <m:rPr>
                <m:sty m:val="p"/>
              </m:rPr>
              <w:rPr>
                <w:rFonts w:ascii="Cambria Math" w:hAnsi="Cambria Math" w:cs="Arial"/>
              </w:rPr>
              <m:t>OF</m:t>
            </m:r>
          </m:sub>
        </m:sSub>
      </m:oMath>
      <w:r w:rsidR="00805DF9" w:rsidRPr="00D2098A">
        <w:rPr>
          <w:rFonts w:asciiTheme="minorHAnsi" w:hAnsiTheme="minorHAnsi" w:cs="Arial"/>
          <w:b/>
        </w:rPr>
        <w:instrText xml:space="preserve"> </w:instrText>
      </w:r>
      <w:r w:rsidR="00805DF9" w:rsidRPr="00D2098A">
        <w:rPr>
          <w:rFonts w:asciiTheme="minorHAnsi" w:hAnsiTheme="minorHAnsi" w:cs="Arial"/>
          <w:b/>
        </w:rPr>
        <w:fldChar w:fldCharType="end"/>
      </w:r>
      <w:r w:rsidRPr="00D2098A">
        <w:rPr>
          <w:rFonts w:asciiTheme="minorHAnsi" w:hAnsiTheme="minorHAnsi" w:cs="Arial"/>
          <w:b/>
        </w:rPr>
        <w:t xml:space="preserve"> </w:t>
      </w:r>
      <w:r w:rsidR="00322291" w:rsidRPr="00D2098A">
        <w:rPr>
          <w:rFonts w:asciiTheme="minorHAnsi" w:hAnsiTheme="minorHAnsi" w:cs="Arial"/>
        </w:rPr>
        <w:t xml:space="preserve">= </w:t>
      </w:r>
      <w:r w:rsidR="00322291" w:rsidRPr="00D2098A">
        <w:rPr>
          <w:rFonts w:asciiTheme="minorHAnsi" w:hAnsiTheme="minorHAnsi"/>
          <w:bCs/>
        </w:rPr>
        <w:t>Índice Global del Cumplimiento de la Información de Oficio.</w:t>
      </w:r>
    </w:p>
    <w:p w14:paraId="04B56225" w14:textId="77777777" w:rsidR="00322291" w:rsidRPr="00D2098A" w:rsidRDefault="00BE3E87" w:rsidP="00322291">
      <w:pPr>
        <w:rPr>
          <w:rFonts w:asciiTheme="minorHAnsi" w:hAnsiTheme="minorHAnsi"/>
          <w:bCs/>
        </w:rPr>
      </w:pPr>
      <w:r w:rsidRPr="00D2098A">
        <w:rPr>
          <w:rFonts w:asciiTheme="minorHAnsi" w:hAnsiTheme="minorHAnsi"/>
          <w:b/>
          <w:i/>
        </w:rPr>
        <w:t>IC</w:t>
      </w:r>
      <w:r w:rsidRPr="00D2098A">
        <w:rPr>
          <w:rFonts w:asciiTheme="minorHAnsi" w:hAnsiTheme="minorHAnsi"/>
          <w:b/>
          <w:i/>
          <w:vertAlign w:val="subscript"/>
        </w:rPr>
        <w:t>CS</w:t>
      </w:r>
      <w:r w:rsidRPr="00D2098A">
        <w:rPr>
          <w:rFonts w:asciiTheme="minorHAnsi" w:hAnsiTheme="minorHAnsi"/>
          <w:bCs/>
        </w:rPr>
        <w:t xml:space="preserve">   </w:t>
      </w:r>
      <w:r w:rsidR="00322291" w:rsidRPr="00D2098A">
        <w:rPr>
          <w:rFonts w:asciiTheme="minorHAnsi" w:hAnsiTheme="minorHAnsi"/>
          <w:bCs/>
        </w:rPr>
        <w:t>= Índice Compuesto de Criterios Sustantivos.</w:t>
      </w:r>
    </w:p>
    <w:p w14:paraId="3D82D6E5" w14:textId="77777777" w:rsidR="00322291" w:rsidRPr="00D2098A" w:rsidRDefault="00BE3E87" w:rsidP="00322291">
      <w:pPr>
        <w:rPr>
          <w:rFonts w:asciiTheme="minorHAnsi" w:hAnsiTheme="minorHAnsi" w:cs="Arial"/>
          <w:b/>
        </w:rPr>
      </w:pPr>
      <w:r w:rsidRPr="00D2098A">
        <w:rPr>
          <w:rFonts w:asciiTheme="minorHAnsi" w:hAnsiTheme="minorHAnsi"/>
          <w:b/>
          <w:i/>
        </w:rPr>
        <w:t>IC</w:t>
      </w:r>
      <w:r w:rsidRPr="00D2098A">
        <w:rPr>
          <w:rFonts w:asciiTheme="minorHAnsi" w:hAnsiTheme="minorHAnsi"/>
          <w:b/>
          <w:i/>
          <w:vertAlign w:val="subscript"/>
        </w:rPr>
        <w:t>CA</w:t>
      </w:r>
      <w:r w:rsidRPr="00D2098A">
        <w:rPr>
          <w:rFonts w:asciiTheme="minorHAnsi" w:hAnsiTheme="minorHAnsi"/>
          <w:bCs/>
        </w:rPr>
        <w:t xml:space="preserve"> </w:t>
      </w:r>
      <w:r w:rsidR="000A3FBE" w:rsidRPr="00D2098A">
        <w:rPr>
          <w:rFonts w:asciiTheme="minorHAnsi" w:hAnsiTheme="minorHAnsi"/>
          <w:bCs/>
        </w:rPr>
        <w:t xml:space="preserve"> </w:t>
      </w:r>
      <w:r w:rsidR="00322291" w:rsidRPr="00D2098A">
        <w:rPr>
          <w:rFonts w:asciiTheme="minorHAnsi" w:hAnsiTheme="minorHAnsi"/>
          <w:bCs/>
        </w:rPr>
        <w:t>= Índice Compuesto de Criterios Adjetivos</w:t>
      </w:r>
      <w:r w:rsidR="00322291" w:rsidRPr="00D2098A">
        <w:rPr>
          <w:rFonts w:asciiTheme="minorHAnsi" w:hAnsiTheme="minorHAnsi" w:cs="Arial"/>
        </w:rPr>
        <w:t>.</w:t>
      </w:r>
    </w:p>
    <w:p w14:paraId="5F7AE488" w14:textId="77777777" w:rsidR="00322291" w:rsidRPr="00D2098A" w:rsidRDefault="00322291" w:rsidP="0034414F">
      <w:pPr>
        <w:rPr>
          <w:rFonts w:asciiTheme="minorHAnsi" w:hAnsiTheme="minorHAnsi"/>
        </w:rPr>
      </w:pPr>
    </w:p>
    <w:p w14:paraId="089E3157" w14:textId="77777777" w:rsidR="0034414F" w:rsidRPr="00D2098A" w:rsidRDefault="0034414F" w:rsidP="0034414F">
      <w:pPr>
        <w:rPr>
          <w:rFonts w:asciiTheme="minorHAnsi" w:hAnsiTheme="minorHAnsi"/>
        </w:rPr>
      </w:pPr>
      <w:r w:rsidRPr="00D2098A">
        <w:rPr>
          <w:rFonts w:asciiTheme="minorHAnsi" w:hAnsiTheme="minorHAnsi"/>
          <w:bCs/>
        </w:rPr>
        <w:t xml:space="preserve">Como puede observarse en la fórmula del </w:t>
      </w:r>
      <w:r w:rsidR="00DB3D7A" w:rsidRPr="00D2098A">
        <w:rPr>
          <w:rFonts w:asciiTheme="minorHAnsi" w:hAnsiTheme="minorHAnsi"/>
          <w:b/>
          <w:lang w:val="es-MX"/>
        </w:rPr>
        <w:t>Índice Global del Cumplimiento de la Información de Oficio (</w:t>
      </w:r>
      <w:r w:rsidR="00DB3D7A" w:rsidRPr="00D2098A">
        <w:rPr>
          <w:rFonts w:asciiTheme="minorHAnsi" w:hAnsiTheme="minorHAnsi"/>
          <w:b/>
          <w:i/>
          <w:lang w:val="es-MX"/>
        </w:rPr>
        <w:t>IG</w:t>
      </w:r>
      <w:r w:rsidR="00DB3D7A" w:rsidRPr="00D2098A">
        <w:rPr>
          <w:rFonts w:asciiTheme="minorHAnsi" w:hAnsiTheme="minorHAnsi"/>
          <w:b/>
          <w:i/>
          <w:vertAlign w:val="subscript"/>
          <w:lang w:val="es-MX"/>
        </w:rPr>
        <w:t>OF</w:t>
      </w:r>
      <w:r w:rsidR="00DB3D7A" w:rsidRPr="00D2098A">
        <w:rPr>
          <w:rFonts w:asciiTheme="minorHAnsi" w:hAnsiTheme="minorHAnsi"/>
          <w:b/>
          <w:lang w:val="es-MX"/>
        </w:rPr>
        <w:t>)</w:t>
      </w:r>
      <w:r w:rsidRPr="00D2098A">
        <w:rPr>
          <w:rFonts w:asciiTheme="minorHAnsi" w:hAnsiTheme="minorHAnsi"/>
          <w:bCs/>
        </w:rPr>
        <w:t xml:space="preserve">, el Índice </w:t>
      </w:r>
      <w:r w:rsidRPr="00D2098A">
        <w:rPr>
          <w:rFonts w:asciiTheme="minorHAnsi" w:hAnsiTheme="minorHAnsi"/>
        </w:rPr>
        <w:t xml:space="preserve">Compuesto de </w:t>
      </w:r>
      <w:r w:rsidR="00F52087" w:rsidRPr="00D2098A">
        <w:rPr>
          <w:rFonts w:asciiTheme="minorHAnsi" w:hAnsiTheme="minorHAnsi"/>
        </w:rPr>
        <w:t>C</w:t>
      </w:r>
      <w:r w:rsidRPr="00D2098A">
        <w:rPr>
          <w:rFonts w:asciiTheme="minorHAnsi" w:hAnsiTheme="minorHAnsi"/>
        </w:rPr>
        <w:t xml:space="preserve">riterios </w:t>
      </w:r>
      <w:r w:rsidR="00F52087" w:rsidRPr="00D2098A">
        <w:rPr>
          <w:rFonts w:asciiTheme="minorHAnsi" w:hAnsiTheme="minorHAnsi"/>
        </w:rPr>
        <w:t>S</w:t>
      </w:r>
      <w:r w:rsidRPr="00D2098A">
        <w:rPr>
          <w:rFonts w:asciiTheme="minorHAnsi" w:hAnsiTheme="minorHAnsi"/>
        </w:rPr>
        <w:t>ustantivos</w:t>
      </w:r>
      <w:r w:rsidR="00F52087" w:rsidRPr="00D2098A">
        <w:rPr>
          <w:rFonts w:asciiTheme="minorHAnsi" w:hAnsiTheme="minorHAnsi"/>
        </w:rPr>
        <w:t xml:space="preserve"> (</w:t>
      </w:r>
      <w:r w:rsidR="00F52087" w:rsidRPr="00D2098A">
        <w:rPr>
          <w:rFonts w:asciiTheme="minorHAnsi" w:hAnsiTheme="minorHAnsi"/>
          <w:b/>
          <w:i/>
        </w:rPr>
        <w:t>IC</w:t>
      </w:r>
      <w:r w:rsidR="00F52087" w:rsidRPr="00D2098A">
        <w:rPr>
          <w:rFonts w:asciiTheme="minorHAnsi" w:hAnsiTheme="minorHAnsi"/>
          <w:b/>
          <w:i/>
          <w:vertAlign w:val="subscript"/>
        </w:rPr>
        <w:t>CS</w:t>
      </w:r>
      <w:r w:rsidR="00F52087" w:rsidRPr="00D2098A">
        <w:rPr>
          <w:rFonts w:asciiTheme="minorHAnsi" w:hAnsiTheme="minorHAnsi"/>
        </w:rPr>
        <w:t xml:space="preserve">) </w:t>
      </w:r>
      <w:r w:rsidRPr="00D2098A">
        <w:rPr>
          <w:rFonts w:asciiTheme="minorHAnsi" w:hAnsiTheme="minorHAnsi"/>
        </w:rPr>
        <w:t>tiene un peso de</w:t>
      </w:r>
      <w:r w:rsidR="007628AF" w:rsidRPr="00D2098A">
        <w:rPr>
          <w:rFonts w:asciiTheme="minorHAnsi" w:hAnsiTheme="minorHAnsi"/>
        </w:rPr>
        <w:t>l</w:t>
      </w:r>
      <w:r w:rsidRPr="00D2098A">
        <w:rPr>
          <w:rFonts w:asciiTheme="minorHAnsi" w:hAnsiTheme="minorHAnsi"/>
        </w:rPr>
        <w:t xml:space="preserve"> 80</w:t>
      </w:r>
      <w:r w:rsidR="007628AF" w:rsidRPr="00D2098A">
        <w:rPr>
          <w:rFonts w:asciiTheme="minorHAnsi" w:hAnsiTheme="minorHAnsi"/>
        </w:rPr>
        <w:t xml:space="preserve"> por ciento</w:t>
      </w:r>
      <w:r w:rsidRPr="00D2098A">
        <w:rPr>
          <w:rFonts w:asciiTheme="minorHAnsi" w:hAnsiTheme="minorHAnsi"/>
        </w:rPr>
        <w:t xml:space="preserve">, en tanto que el Índice Compuesto de </w:t>
      </w:r>
      <w:r w:rsidR="00F52087" w:rsidRPr="00D2098A">
        <w:rPr>
          <w:rFonts w:asciiTheme="minorHAnsi" w:hAnsiTheme="minorHAnsi"/>
        </w:rPr>
        <w:t>Criterios A</w:t>
      </w:r>
      <w:r w:rsidRPr="00D2098A">
        <w:rPr>
          <w:rFonts w:asciiTheme="minorHAnsi" w:hAnsiTheme="minorHAnsi"/>
        </w:rPr>
        <w:t>djetivos</w:t>
      </w:r>
      <w:r w:rsidR="00F52087" w:rsidRPr="00D2098A">
        <w:rPr>
          <w:rFonts w:asciiTheme="minorHAnsi" w:hAnsiTheme="minorHAnsi"/>
        </w:rPr>
        <w:t xml:space="preserve"> (</w:t>
      </w:r>
      <w:r w:rsidR="00F52087" w:rsidRPr="00D2098A">
        <w:rPr>
          <w:rFonts w:asciiTheme="minorHAnsi" w:hAnsiTheme="minorHAnsi"/>
          <w:b/>
          <w:i/>
        </w:rPr>
        <w:t>IC</w:t>
      </w:r>
      <w:r w:rsidR="00F52087" w:rsidRPr="00D2098A">
        <w:rPr>
          <w:rFonts w:asciiTheme="minorHAnsi" w:hAnsiTheme="minorHAnsi"/>
          <w:b/>
          <w:i/>
          <w:vertAlign w:val="subscript"/>
        </w:rPr>
        <w:t>CA</w:t>
      </w:r>
      <w:r w:rsidR="00F52087" w:rsidRPr="00D2098A">
        <w:rPr>
          <w:rFonts w:asciiTheme="minorHAnsi" w:hAnsiTheme="minorHAnsi"/>
        </w:rPr>
        <w:t>)</w:t>
      </w:r>
      <w:r w:rsidRPr="00D2098A">
        <w:rPr>
          <w:rFonts w:asciiTheme="minorHAnsi" w:hAnsiTheme="minorHAnsi"/>
        </w:rPr>
        <w:t xml:space="preserve"> tiene un peso de</w:t>
      </w:r>
      <w:r w:rsidR="007628AF" w:rsidRPr="00D2098A">
        <w:rPr>
          <w:rFonts w:asciiTheme="minorHAnsi" w:hAnsiTheme="minorHAnsi"/>
        </w:rPr>
        <w:t>l</w:t>
      </w:r>
      <w:r w:rsidRPr="00D2098A">
        <w:rPr>
          <w:rFonts w:asciiTheme="minorHAnsi" w:hAnsiTheme="minorHAnsi"/>
        </w:rPr>
        <w:t xml:space="preserve"> 20</w:t>
      </w:r>
      <w:r w:rsidR="007628AF" w:rsidRPr="00D2098A">
        <w:rPr>
          <w:rFonts w:asciiTheme="minorHAnsi" w:hAnsiTheme="minorHAnsi"/>
        </w:rPr>
        <w:t xml:space="preserve"> por ciento</w:t>
      </w:r>
      <w:r w:rsidRPr="00D2098A">
        <w:rPr>
          <w:rFonts w:asciiTheme="minorHAnsi" w:hAnsiTheme="minorHAnsi"/>
        </w:rPr>
        <w:t>.</w:t>
      </w:r>
    </w:p>
    <w:p w14:paraId="37D79AB7" w14:textId="77777777" w:rsidR="0034414F" w:rsidRPr="00D2098A" w:rsidRDefault="0034414F" w:rsidP="0034414F">
      <w:pPr>
        <w:rPr>
          <w:rFonts w:asciiTheme="minorHAnsi" w:hAnsiTheme="minorHAnsi"/>
        </w:rPr>
      </w:pPr>
    </w:p>
    <w:p w14:paraId="65573C97" w14:textId="77777777" w:rsidR="00A524DE" w:rsidRPr="00D2098A" w:rsidRDefault="0034414F" w:rsidP="00A524DE">
      <w:pPr>
        <w:rPr>
          <w:rFonts w:asciiTheme="minorHAnsi" w:hAnsiTheme="minorHAnsi"/>
        </w:rPr>
      </w:pPr>
      <w:r w:rsidRPr="00D2098A">
        <w:rPr>
          <w:rFonts w:asciiTheme="minorHAnsi" w:hAnsiTheme="minorHAnsi"/>
        </w:rPr>
        <w:t>Por su pa</w:t>
      </w:r>
      <w:r w:rsidR="00D92ACE" w:rsidRPr="00D2098A">
        <w:rPr>
          <w:rFonts w:asciiTheme="minorHAnsi" w:hAnsiTheme="minorHAnsi"/>
        </w:rPr>
        <w:t>rte, el cálculo de</w:t>
      </w:r>
      <w:r w:rsidR="009E4F01" w:rsidRPr="00D2098A">
        <w:rPr>
          <w:rFonts w:asciiTheme="minorHAnsi" w:hAnsiTheme="minorHAnsi"/>
        </w:rPr>
        <w:t xml:space="preserve"> los</w:t>
      </w:r>
      <w:r w:rsidR="00A524DE" w:rsidRPr="00D2098A">
        <w:rPr>
          <w:rFonts w:asciiTheme="minorHAnsi" w:hAnsiTheme="minorHAnsi" w:cs="Arial"/>
          <w:bCs/>
        </w:rPr>
        <w:t xml:space="preserve"> </w:t>
      </w:r>
      <w:r w:rsidR="00A524DE" w:rsidRPr="00D2098A">
        <w:rPr>
          <w:rFonts w:asciiTheme="minorHAnsi" w:hAnsiTheme="minorHAnsi"/>
        </w:rPr>
        <w:t xml:space="preserve">Índices Compuesto de Criterios Sustantivos </w:t>
      </w:r>
      <w:r w:rsidR="00F52087" w:rsidRPr="00D2098A">
        <w:rPr>
          <w:rFonts w:asciiTheme="minorHAnsi" w:hAnsiTheme="minorHAnsi"/>
        </w:rPr>
        <w:t>(</w:t>
      </w:r>
      <w:r w:rsidR="00F52087" w:rsidRPr="00D2098A">
        <w:rPr>
          <w:rFonts w:asciiTheme="minorHAnsi" w:hAnsiTheme="minorHAnsi"/>
          <w:b/>
          <w:i/>
        </w:rPr>
        <w:t>IC</w:t>
      </w:r>
      <w:r w:rsidR="00F52087" w:rsidRPr="00D2098A">
        <w:rPr>
          <w:rFonts w:asciiTheme="minorHAnsi" w:hAnsiTheme="minorHAnsi"/>
          <w:b/>
          <w:i/>
          <w:vertAlign w:val="subscript"/>
        </w:rPr>
        <w:t>CS</w:t>
      </w:r>
      <w:r w:rsidR="00F52087" w:rsidRPr="00D2098A">
        <w:rPr>
          <w:rFonts w:asciiTheme="minorHAnsi" w:hAnsiTheme="minorHAnsi"/>
        </w:rPr>
        <w:t xml:space="preserve">) </w:t>
      </w:r>
      <w:r w:rsidR="00A524DE" w:rsidRPr="00D2098A">
        <w:rPr>
          <w:rFonts w:asciiTheme="minorHAnsi" w:hAnsiTheme="minorHAnsi"/>
        </w:rPr>
        <w:t xml:space="preserve">y de Criterios Adjetivos </w:t>
      </w:r>
      <w:r w:rsidR="00F52087" w:rsidRPr="00D2098A">
        <w:rPr>
          <w:rFonts w:asciiTheme="minorHAnsi" w:hAnsiTheme="minorHAnsi"/>
        </w:rPr>
        <w:t>(</w:t>
      </w:r>
      <w:r w:rsidR="00F52087" w:rsidRPr="00D2098A">
        <w:rPr>
          <w:rFonts w:asciiTheme="minorHAnsi" w:hAnsiTheme="minorHAnsi"/>
          <w:b/>
          <w:i/>
        </w:rPr>
        <w:t>IC</w:t>
      </w:r>
      <w:r w:rsidR="00F52087" w:rsidRPr="00D2098A">
        <w:rPr>
          <w:rFonts w:asciiTheme="minorHAnsi" w:hAnsiTheme="minorHAnsi"/>
          <w:b/>
          <w:i/>
          <w:vertAlign w:val="subscript"/>
        </w:rPr>
        <w:t>CA</w:t>
      </w:r>
      <w:r w:rsidR="00F52087" w:rsidRPr="00D2098A">
        <w:rPr>
          <w:rFonts w:asciiTheme="minorHAnsi" w:hAnsiTheme="minorHAnsi"/>
        </w:rPr>
        <w:t xml:space="preserve">) </w:t>
      </w:r>
      <w:r w:rsidR="00A524DE" w:rsidRPr="00D2098A">
        <w:rPr>
          <w:rFonts w:asciiTheme="minorHAnsi" w:hAnsiTheme="minorHAnsi"/>
        </w:rPr>
        <w:t>se calcularán de acuerdo a las siguientes fórmulas:</w:t>
      </w:r>
    </w:p>
    <w:p w14:paraId="5EBC4C16" w14:textId="77777777" w:rsidR="00A524DE" w:rsidRDefault="00A524DE" w:rsidP="00A524DE">
      <w:pPr>
        <w:rPr>
          <w:rFonts w:asciiTheme="minorHAnsi" w:hAnsiTheme="minorHAnsi" w:cs="Arial"/>
        </w:rPr>
      </w:pPr>
    </w:p>
    <w:p w14:paraId="78BFE305" w14:textId="77777777" w:rsidR="00A54804" w:rsidRPr="00D2098A" w:rsidRDefault="00A54804" w:rsidP="00A524DE">
      <w:pPr>
        <w:rPr>
          <w:rFonts w:asciiTheme="minorHAnsi" w:hAnsiTheme="minorHAnsi" w:cs="Arial"/>
          <w:b/>
          <w:i/>
          <w:vertAlign w:val="subscript"/>
          <w:lang w:val="en-US"/>
        </w:rPr>
      </w:pPr>
      <w:r w:rsidRPr="00D2098A">
        <w:rPr>
          <w:rFonts w:asciiTheme="minorHAnsi" w:hAnsiTheme="minorHAnsi"/>
          <w:b/>
          <w:i/>
          <w:lang w:val="en-US"/>
        </w:rPr>
        <w:t>IC</w:t>
      </w:r>
      <w:r w:rsidRPr="00D2098A">
        <w:rPr>
          <w:rFonts w:asciiTheme="minorHAnsi" w:hAnsiTheme="minorHAnsi"/>
          <w:b/>
          <w:i/>
          <w:vertAlign w:val="subscript"/>
          <w:lang w:val="en-US"/>
        </w:rPr>
        <w:t>CS</w:t>
      </w:r>
      <w:r w:rsidRPr="00D2098A">
        <w:rPr>
          <w:rFonts w:asciiTheme="minorHAnsi" w:hAnsiTheme="minorHAnsi" w:cs="Cambria Math"/>
          <w:lang w:val="en-US"/>
        </w:rPr>
        <w:t xml:space="preserve"> =</w:t>
      </w:r>
      <w:r w:rsidR="000C3630" w:rsidRPr="00D2098A">
        <w:rPr>
          <w:rFonts w:asciiTheme="minorHAnsi" w:hAnsiTheme="minorHAnsi" w:cs="Cambria Math"/>
          <w:lang w:val="en-US"/>
        </w:rPr>
        <w:t xml:space="preserve"> [</w:t>
      </w:r>
      <w:r w:rsidRPr="00D2098A">
        <w:rPr>
          <w:rFonts w:asciiTheme="minorHAnsi" w:hAnsiTheme="minorHAnsi" w:cs="Arial"/>
          <w:lang w:val="en-US"/>
        </w:rPr>
        <w:t xml:space="preserve">0.1 </w:t>
      </w:r>
      <w:r w:rsidRPr="00D2098A">
        <w:rPr>
          <w:rFonts w:asciiTheme="minorHAnsi" w:hAnsiTheme="minorHAnsi"/>
          <w:b/>
          <w:i/>
          <w:lang w:val="en-US"/>
        </w:rPr>
        <w:t>ICS</w:t>
      </w:r>
      <w:r w:rsidRPr="00D2098A">
        <w:rPr>
          <w:rFonts w:asciiTheme="minorHAnsi" w:hAnsiTheme="minorHAnsi" w:cs="Arial"/>
          <w:b/>
          <w:i/>
          <w:vertAlign w:val="subscript"/>
          <w:lang w:val="en-US"/>
        </w:rPr>
        <w:t xml:space="preserve">13 </w:t>
      </w:r>
      <w:r w:rsidRPr="00D2098A">
        <w:rPr>
          <w:rFonts w:asciiTheme="minorHAnsi" w:hAnsiTheme="minorHAnsi" w:cs="Arial"/>
          <w:lang w:val="en-US"/>
        </w:rPr>
        <w:t xml:space="preserve">+ 0.45 </w:t>
      </w:r>
      <w:r w:rsidRPr="00D2098A">
        <w:rPr>
          <w:rFonts w:asciiTheme="minorHAnsi" w:hAnsiTheme="minorHAnsi"/>
          <w:b/>
          <w:i/>
          <w:lang w:val="en-US"/>
        </w:rPr>
        <w:t>ICS</w:t>
      </w:r>
      <w:r w:rsidRPr="00D2098A">
        <w:rPr>
          <w:rFonts w:asciiTheme="minorHAnsi" w:hAnsiTheme="minorHAnsi" w:cs="Arial"/>
          <w:b/>
          <w:i/>
          <w:vertAlign w:val="subscript"/>
          <w:lang w:val="en-US"/>
        </w:rPr>
        <w:t xml:space="preserve">14 </w:t>
      </w:r>
      <w:r w:rsidRPr="00D2098A">
        <w:rPr>
          <w:rFonts w:asciiTheme="minorHAnsi" w:hAnsiTheme="minorHAnsi" w:cs="Arial"/>
          <w:lang w:val="en-US"/>
        </w:rPr>
        <w:t xml:space="preserve">+ 0.2 </w:t>
      </w:r>
      <w:r w:rsidRPr="00D2098A">
        <w:rPr>
          <w:rFonts w:asciiTheme="minorHAnsi" w:hAnsiTheme="minorHAnsi"/>
          <w:b/>
          <w:i/>
          <w:lang w:val="en-US"/>
        </w:rPr>
        <w:t>ICS</w:t>
      </w:r>
      <w:r w:rsidRPr="00D2098A">
        <w:rPr>
          <w:rFonts w:asciiTheme="minorHAnsi" w:hAnsiTheme="minorHAnsi" w:cs="Arial"/>
          <w:b/>
          <w:i/>
          <w:vertAlign w:val="subscript"/>
          <w:lang w:val="en-US"/>
        </w:rPr>
        <w:t xml:space="preserve">oe </w:t>
      </w:r>
      <w:r w:rsidRPr="00D2098A">
        <w:rPr>
          <w:rFonts w:asciiTheme="minorHAnsi" w:hAnsiTheme="minorHAnsi" w:cs="Arial"/>
          <w:lang w:val="en-US"/>
        </w:rPr>
        <w:t xml:space="preserve">+ 0.05 </w:t>
      </w:r>
      <w:r w:rsidRPr="00D2098A">
        <w:rPr>
          <w:rFonts w:asciiTheme="minorHAnsi" w:hAnsiTheme="minorHAnsi"/>
          <w:b/>
          <w:i/>
          <w:lang w:val="en-US"/>
        </w:rPr>
        <w:t>ICS</w:t>
      </w:r>
      <w:r w:rsidRPr="00D2098A">
        <w:rPr>
          <w:rFonts w:asciiTheme="minorHAnsi" w:hAnsiTheme="minorHAnsi" w:cs="Arial"/>
          <w:b/>
          <w:i/>
          <w:vertAlign w:val="subscript"/>
          <w:lang w:val="en-US"/>
        </w:rPr>
        <w:t xml:space="preserve">25 </w:t>
      </w:r>
      <w:r w:rsidRPr="00D2098A">
        <w:rPr>
          <w:rFonts w:asciiTheme="minorHAnsi" w:hAnsiTheme="minorHAnsi" w:cs="Arial"/>
          <w:lang w:val="en-US"/>
        </w:rPr>
        <w:t xml:space="preserve">+ 0.05 </w:t>
      </w:r>
      <w:r w:rsidRPr="00D2098A">
        <w:rPr>
          <w:rFonts w:asciiTheme="minorHAnsi" w:hAnsiTheme="minorHAnsi"/>
          <w:b/>
          <w:i/>
          <w:lang w:val="en-US"/>
        </w:rPr>
        <w:t>ICS</w:t>
      </w:r>
      <w:r w:rsidRPr="00D2098A">
        <w:rPr>
          <w:rFonts w:asciiTheme="minorHAnsi" w:hAnsiTheme="minorHAnsi" w:cs="Arial"/>
          <w:b/>
          <w:i/>
          <w:vertAlign w:val="subscript"/>
          <w:lang w:val="en-US"/>
        </w:rPr>
        <w:t xml:space="preserve">27 </w:t>
      </w:r>
      <w:r w:rsidRPr="00D2098A">
        <w:rPr>
          <w:rFonts w:asciiTheme="minorHAnsi" w:hAnsiTheme="minorHAnsi" w:cs="Arial"/>
          <w:lang w:val="en-US"/>
        </w:rPr>
        <w:t xml:space="preserve">+ 0.05 </w:t>
      </w:r>
      <w:r w:rsidRPr="00D2098A">
        <w:rPr>
          <w:rFonts w:asciiTheme="minorHAnsi" w:hAnsiTheme="minorHAnsi"/>
          <w:b/>
          <w:i/>
          <w:lang w:val="en-US"/>
        </w:rPr>
        <w:t>IC</w:t>
      </w:r>
      <w:r w:rsidRPr="00D2098A">
        <w:rPr>
          <w:rFonts w:asciiTheme="minorHAnsi" w:hAnsiTheme="minorHAnsi" w:cs="Arial"/>
          <w:b/>
          <w:i/>
          <w:vertAlign w:val="subscript"/>
          <w:lang w:val="en-US"/>
        </w:rPr>
        <w:t xml:space="preserve">28 </w:t>
      </w:r>
      <w:r w:rsidRPr="00D2098A">
        <w:rPr>
          <w:rFonts w:asciiTheme="minorHAnsi" w:hAnsiTheme="minorHAnsi" w:cs="Arial"/>
          <w:lang w:val="en-US"/>
        </w:rPr>
        <w:t>+ 0.05</w:t>
      </w:r>
      <w:r w:rsidR="000C3630" w:rsidRPr="00D2098A">
        <w:rPr>
          <w:rFonts w:asciiTheme="minorHAnsi" w:hAnsiTheme="minorHAnsi" w:cs="Arial"/>
          <w:lang w:val="en-US"/>
        </w:rPr>
        <w:t xml:space="preserve"> </w:t>
      </w:r>
      <w:r w:rsidR="000C3630" w:rsidRPr="00D2098A">
        <w:rPr>
          <w:rFonts w:asciiTheme="minorHAnsi" w:hAnsiTheme="minorHAnsi"/>
          <w:b/>
          <w:i/>
          <w:lang w:val="en-US"/>
        </w:rPr>
        <w:t>ICS</w:t>
      </w:r>
      <w:r w:rsidR="000C3630" w:rsidRPr="00D2098A">
        <w:rPr>
          <w:rFonts w:asciiTheme="minorHAnsi" w:hAnsiTheme="minorHAnsi" w:cs="Arial"/>
          <w:b/>
          <w:i/>
          <w:vertAlign w:val="subscript"/>
          <w:lang w:val="en-US"/>
        </w:rPr>
        <w:t>29</w:t>
      </w:r>
      <w:r w:rsidR="000C3630" w:rsidRPr="00D2098A">
        <w:rPr>
          <w:rFonts w:asciiTheme="minorHAnsi" w:hAnsiTheme="minorHAnsi" w:cs="Arial"/>
          <w:lang w:val="en-US"/>
        </w:rPr>
        <w:t xml:space="preserve"> </w:t>
      </w:r>
      <w:r w:rsidRPr="00D2098A">
        <w:rPr>
          <w:rFonts w:asciiTheme="minorHAnsi" w:hAnsiTheme="minorHAnsi" w:cs="Arial"/>
          <w:lang w:val="en-US"/>
        </w:rPr>
        <w:t xml:space="preserve">+ </w:t>
      </w:r>
      <w:r w:rsidR="000C3630" w:rsidRPr="00D2098A">
        <w:rPr>
          <w:rFonts w:asciiTheme="minorHAnsi" w:hAnsiTheme="minorHAnsi" w:cs="Arial"/>
          <w:lang w:val="en-US"/>
        </w:rPr>
        <w:t xml:space="preserve">0.05 </w:t>
      </w:r>
      <w:r w:rsidR="000C3630" w:rsidRPr="00D2098A">
        <w:rPr>
          <w:rFonts w:asciiTheme="minorHAnsi" w:hAnsiTheme="minorHAnsi"/>
          <w:b/>
          <w:i/>
          <w:lang w:val="en-US"/>
        </w:rPr>
        <w:t>ICS</w:t>
      </w:r>
      <w:r w:rsidR="000C3630" w:rsidRPr="00D2098A">
        <w:rPr>
          <w:rFonts w:asciiTheme="minorHAnsi" w:hAnsiTheme="minorHAnsi" w:cs="Arial"/>
          <w:b/>
          <w:i/>
          <w:vertAlign w:val="subscript"/>
          <w:lang w:val="en-US"/>
        </w:rPr>
        <w:t>30</w:t>
      </w:r>
      <w:r w:rsidR="000C3630" w:rsidRPr="00D2098A">
        <w:rPr>
          <w:rFonts w:asciiTheme="minorHAnsi" w:hAnsiTheme="minorHAnsi" w:cs="Cambria Math"/>
          <w:lang w:val="en-US"/>
        </w:rPr>
        <w:t>]</w:t>
      </w:r>
    </w:p>
    <w:p w14:paraId="747540C2" w14:textId="77777777" w:rsidR="000C3630" w:rsidRPr="00D2098A" w:rsidRDefault="000C3630" w:rsidP="00A524DE">
      <w:pPr>
        <w:rPr>
          <w:rFonts w:asciiTheme="minorHAnsi" w:hAnsiTheme="minorHAnsi" w:cs="Arial"/>
          <w:lang w:val="en-US"/>
        </w:rPr>
      </w:pPr>
    </w:p>
    <w:p w14:paraId="51423BC0" w14:textId="77777777" w:rsidR="000C3630" w:rsidRPr="00D2098A" w:rsidRDefault="000C3630" w:rsidP="000C3630">
      <w:pPr>
        <w:rPr>
          <w:rFonts w:asciiTheme="minorHAnsi" w:hAnsiTheme="minorHAnsi" w:cs="Arial"/>
          <w:lang w:val="es-MX"/>
        </w:rPr>
      </w:pPr>
      <w:r w:rsidRPr="00D2098A">
        <w:rPr>
          <w:rFonts w:asciiTheme="minorHAnsi" w:hAnsiTheme="minorHAnsi"/>
          <w:b/>
          <w:i/>
          <w:lang w:val="es-MX"/>
        </w:rPr>
        <w:t>IC</w:t>
      </w:r>
      <w:r w:rsidRPr="00D2098A">
        <w:rPr>
          <w:rFonts w:asciiTheme="minorHAnsi" w:hAnsiTheme="minorHAnsi"/>
          <w:b/>
          <w:i/>
          <w:vertAlign w:val="subscript"/>
          <w:lang w:val="es-MX"/>
        </w:rPr>
        <w:t>CA</w:t>
      </w:r>
      <w:r w:rsidRPr="00D2098A">
        <w:rPr>
          <w:rFonts w:asciiTheme="minorHAnsi" w:hAnsiTheme="minorHAnsi" w:cs="Cambria Math"/>
          <w:lang w:val="es-MX"/>
        </w:rPr>
        <w:t xml:space="preserve"> = [</w:t>
      </w:r>
      <w:r w:rsidRPr="00D2098A">
        <w:rPr>
          <w:rFonts w:asciiTheme="minorHAnsi" w:hAnsiTheme="minorHAnsi" w:cs="Arial"/>
          <w:lang w:val="es-MX"/>
        </w:rPr>
        <w:t xml:space="preserve">0.1 </w:t>
      </w:r>
      <w:r w:rsidRPr="00D2098A">
        <w:rPr>
          <w:rFonts w:asciiTheme="minorHAnsi" w:hAnsiTheme="minorHAnsi"/>
          <w:b/>
          <w:i/>
          <w:lang w:val="es-MX"/>
        </w:rPr>
        <w:t>ICA</w:t>
      </w:r>
      <w:r w:rsidRPr="00D2098A">
        <w:rPr>
          <w:rFonts w:asciiTheme="minorHAnsi" w:hAnsiTheme="minorHAnsi" w:cs="Arial"/>
          <w:b/>
          <w:i/>
          <w:vertAlign w:val="subscript"/>
          <w:lang w:val="es-MX"/>
        </w:rPr>
        <w:t xml:space="preserve">13 </w:t>
      </w:r>
      <w:r w:rsidRPr="00D2098A">
        <w:rPr>
          <w:rFonts w:asciiTheme="minorHAnsi" w:hAnsiTheme="minorHAnsi" w:cs="Arial"/>
          <w:lang w:val="es-MX"/>
        </w:rPr>
        <w:t xml:space="preserve">+ 0.45 </w:t>
      </w:r>
      <w:r w:rsidRPr="00D2098A">
        <w:rPr>
          <w:rFonts w:asciiTheme="minorHAnsi" w:hAnsiTheme="minorHAnsi"/>
          <w:b/>
          <w:i/>
          <w:lang w:val="es-MX"/>
        </w:rPr>
        <w:t>ICA</w:t>
      </w:r>
      <w:r w:rsidRPr="00D2098A">
        <w:rPr>
          <w:rFonts w:asciiTheme="minorHAnsi" w:hAnsiTheme="minorHAnsi" w:cs="Arial"/>
          <w:b/>
          <w:i/>
          <w:vertAlign w:val="subscript"/>
          <w:lang w:val="es-MX"/>
        </w:rPr>
        <w:t xml:space="preserve">14 </w:t>
      </w:r>
      <w:r w:rsidRPr="00D2098A">
        <w:rPr>
          <w:rFonts w:asciiTheme="minorHAnsi" w:hAnsiTheme="minorHAnsi" w:cs="Arial"/>
          <w:lang w:val="es-MX"/>
        </w:rPr>
        <w:t xml:space="preserve">+ 0.2 </w:t>
      </w:r>
      <w:r w:rsidRPr="00D2098A">
        <w:rPr>
          <w:rFonts w:asciiTheme="minorHAnsi" w:hAnsiTheme="minorHAnsi"/>
          <w:b/>
          <w:i/>
          <w:lang w:val="es-MX"/>
        </w:rPr>
        <w:t>ICA</w:t>
      </w:r>
      <w:r w:rsidRPr="00D2098A">
        <w:rPr>
          <w:rFonts w:asciiTheme="minorHAnsi" w:hAnsiTheme="minorHAnsi" w:cs="Arial"/>
          <w:b/>
          <w:i/>
          <w:vertAlign w:val="subscript"/>
          <w:lang w:val="es-MX"/>
        </w:rPr>
        <w:t xml:space="preserve">oe </w:t>
      </w:r>
      <w:r w:rsidRPr="00D2098A">
        <w:rPr>
          <w:rFonts w:asciiTheme="minorHAnsi" w:hAnsiTheme="minorHAnsi" w:cs="Arial"/>
          <w:lang w:val="es-MX"/>
        </w:rPr>
        <w:t xml:space="preserve">+ 0.05 </w:t>
      </w:r>
      <w:r w:rsidRPr="00D2098A">
        <w:rPr>
          <w:rFonts w:asciiTheme="minorHAnsi" w:hAnsiTheme="minorHAnsi"/>
          <w:b/>
          <w:i/>
          <w:lang w:val="es-MX"/>
        </w:rPr>
        <w:t>ICA</w:t>
      </w:r>
      <w:r w:rsidRPr="00D2098A">
        <w:rPr>
          <w:rFonts w:asciiTheme="minorHAnsi" w:hAnsiTheme="minorHAnsi" w:cs="Arial"/>
          <w:b/>
          <w:i/>
          <w:vertAlign w:val="subscript"/>
          <w:lang w:val="es-MX"/>
        </w:rPr>
        <w:t xml:space="preserve">25 </w:t>
      </w:r>
      <w:r w:rsidRPr="00D2098A">
        <w:rPr>
          <w:rFonts w:asciiTheme="minorHAnsi" w:hAnsiTheme="minorHAnsi" w:cs="Arial"/>
          <w:lang w:val="es-MX"/>
        </w:rPr>
        <w:t xml:space="preserve">+ 0.05 </w:t>
      </w:r>
      <w:r w:rsidRPr="00D2098A">
        <w:rPr>
          <w:rFonts w:asciiTheme="minorHAnsi" w:hAnsiTheme="minorHAnsi"/>
          <w:b/>
          <w:i/>
          <w:lang w:val="es-MX"/>
        </w:rPr>
        <w:t>ICA</w:t>
      </w:r>
      <w:r w:rsidRPr="00D2098A">
        <w:rPr>
          <w:rFonts w:asciiTheme="minorHAnsi" w:hAnsiTheme="minorHAnsi" w:cs="Arial"/>
          <w:b/>
          <w:i/>
          <w:vertAlign w:val="subscript"/>
          <w:lang w:val="es-MX"/>
        </w:rPr>
        <w:t xml:space="preserve">27 </w:t>
      </w:r>
      <w:r w:rsidRPr="00D2098A">
        <w:rPr>
          <w:rFonts w:asciiTheme="minorHAnsi" w:hAnsiTheme="minorHAnsi" w:cs="Arial"/>
          <w:lang w:val="es-MX"/>
        </w:rPr>
        <w:t xml:space="preserve">+ 0.05 </w:t>
      </w:r>
      <w:r w:rsidRPr="00D2098A">
        <w:rPr>
          <w:rFonts w:asciiTheme="minorHAnsi" w:hAnsiTheme="minorHAnsi"/>
          <w:b/>
          <w:i/>
          <w:lang w:val="es-MX"/>
        </w:rPr>
        <w:t>IC</w:t>
      </w:r>
      <w:r w:rsidRPr="00D2098A">
        <w:rPr>
          <w:rFonts w:asciiTheme="minorHAnsi" w:hAnsiTheme="minorHAnsi" w:cs="Arial"/>
          <w:b/>
          <w:i/>
          <w:vertAlign w:val="subscript"/>
          <w:lang w:val="es-MX"/>
        </w:rPr>
        <w:t xml:space="preserve">28 </w:t>
      </w:r>
      <w:r w:rsidRPr="00D2098A">
        <w:rPr>
          <w:rFonts w:asciiTheme="minorHAnsi" w:hAnsiTheme="minorHAnsi" w:cs="Arial"/>
          <w:lang w:val="es-MX"/>
        </w:rPr>
        <w:t xml:space="preserve">+ 0.05 </w:t>
      </w:r>
      <w:r w:rsidRPr="00D2098A">
        <w:rPr>
          <w:rFonts w:asciiTheme="minorHAnsi" w:hAnsiTheme="minorHAnsi"/>
          <w:b/>
          <w:i/>
          <w:lang w:val="es-MX"/>
        </w:rPr>
        <w:t>ICA</w:t>
      </w:r>
      <w:r w:rsidRPr="00D2098A">
        <w:rPr>
          <w:rFonts w:asciiTheme="minorHAnsi" w:hAnsiTheme="minorHAnsi" w:cs="Arial"/>
          <w:b/>
          <w:i/>
          <w:vertAlign w:val="subscript"/>
          <w:lang w:val="es-MX"/>
        </w:rPr>
        <w:t>29</w:t>
      </w:r>
      <w:r w:rsidRPr="00D2098A">
        <w:rPr>
          <w:rFonts w:asciiTheme="minorHAnsi" w:hAnsiTheme="minorHAnsi" w:cs="Arial"/>
          <w:lang w:val="es-MX"/>
        </w:rPr>
        <w:t xml:space="preserve"> + 0.05 </w:t>
      </w:r>
      <w:r w:rsidRPr="00D2098A">
        <w:rPr>
          <w:rFonts w:asciiTheme="minorHAnsi" w:hAnsiTheme="minorHAnsi"/>
          <w:b/>
          <w:i/>
          <w:lang w:val="es-MX"/>
        </w:rPr>
        <w:t>ICA</w:t>
      </w:r>
      <w:r w:rsidRPr="00D2098A">
        <w:rPr>
          <w:rFonts w:asciiTheme="minorHAnsi" w:hAnsiTheme="minorHAnsi" w:cs="Arial"/>
          <w:b/>
          <w:i/>
          <w:vertAlign w:val="subscript"/>
          <w:lang w:val="es-MX"/>
        </w:rPr>
        <w:t>30</w:t>
      </w:r>
      <w:r w:rsidRPr="00D2098A">
        <w:rPr>
          <w:rFonts w:asciiTheme="minorHAnsi" w:hAnsiTheme="minorHAnsi" w:cs="Cambria Math"/>
          <w:lang w:val="es-MX"/>
        </w:rPr>
        <w:t>]</w:t>
      </w:r>
    </w:p>
    <w:p w14:paraId="74FB1687" w14:textId="77777777" w:rsidR="009775AC" w:rsidRPr="00D2098A" w:rsidRDefault="009775AC" w:rsidP="0034414F">
      <w:pPr>
        <w:rPr>
          <w:rFonts w:asciiTheme="minorHAnsi" w:hAnsiTheme="minorHAnsi"/>
        </w:rPr>
      </w:pPr>
    </w:p>
    <w:p w14:paraId="5F9C3AD1" w14:textId="77777777" w:rsidR="00D92ACE" w:rsidRPr="00D2098A" w:rsidRDefault="00D92ACE" w:rsidP="00D92ACE">
      <w:pPr>
        <w:rPr>
          <w:rFonts w:asciiTheme="minorHAnsi" w:hAnsiTheme="minorHAnsi"/>
          <w:b/>
        </w:rPr>
      </w:pPr>
      <w:r w:rsidRPr="00D2098A">
        <w:rPr>
          <w:rFonts w:asciiTheme="minorHAnsi" w:hAnsiTheme="minorHAnsi"/>
          <w:b/>
        </w:rPr>
        <w:t>Donde:</w:t>
      </w:r>
    </w:p>
    <w:p w14:paraId="078954D9" w14:textId="77777777" w:rsidR="00D92ACE" w:rsidRPr="00D2098A" w:rsidRDefault="00D92ACE" w:rsidP="00D92ACE">
      <w:pPr>
        <w:rPr>
          <w:rFonts w:asciiTheme="minorHAnsi" w:hAnsiTheme="minorHAnsi"/>
        </w:rPr>
      </w:pPr>
    </w:p>
    <w:p w14:paraId="3A88B20B" w14:textId="77777777" w:rsidR="00D92ACE" w:rsidRPr="00D2098A" w:rsidRDefault="00AB29AB" w:rsidP="00D92ACE">
      <w:pPr>
        <w:rPr>
          <w:rFonts w:asciiTheme="minorHAnsi" w:hAnsiTheme="minorHAnsi"/>
        </w:rPr>
      </w:pPr>
      <w:r w:rsidRPr="00D2098A">
        <w:rPr>
          <w:rFonts w:asciiTheme="minorHAnsi" w:hAnsiTheme="minorHAnsi"/>
          <w:b/>
          <w:i/>
          <w:lang w:val="es-MX"/>
        </w:rPr>
        <w:t>ICS</w:t>
      </w:r>
      <w:r w:rsidRPr="00D2098A">
        <w:rPr>
          <w:rFonts w:asciiTheme="minorHAnsi" w:hAnsiTheme="minorHAnsi" w:cs="Arial"/>
          <w:b/>
          <w:i/>
          <w:vertAlign w:val="subscript"/>
          <w:lang w:val="es-MX"/>
        </w:rPr>
        <w:t>13</w:t>
      </w:r>
      <w:r w:rsidR="00D92ACE" w:rsidRPr="00D2098A">
        <w:rPr>
          <w:rFonts w:asciiTheme="minorHAnsi" w:hAnsiTheme="minorHAnsi"/>
        </w:rPr>
        <w:t xml:space="preserve"> = Índice de Criterios Sustantivos del </w:t>
      </w:r>
      <w:r w:rsidRPr="00D2098A">
        <w:rPr>
          <w:rFonts w:asciiTheme="minorHAnsi" w:hAnsiTheme="minorHAnsi"/>
        </w:rPr>
        <w:t>A</w:t>
      </w:r>
      <w:r w:rsidR="00D92ACE" w:rsidRPr="00D2098A">
        <w:rPr>
          <w:rFonts w:asciiTheme="minorHAnsi" w:hAnsiTheme="minorHAnsi"/>
        </w:rPr>
        <w:t>rtículo 13.</w:t>
      </w:r>
    </w:p>
    <w:p w14:paraId="29232617" w14:textId="77777777" w:rsidR="00D92ACE" w:rsidRPr="00D2098A" w:rsidRDefault="00AB29AB" w:rsidP="00D92ACE">
      <w:pPr>
        <w:rPr>
          <w:rFonts w:asciiTheme="minorHAnsi" w:hAnsiTheme="minorHAnsi"/>
        </w:rPr>
      </w:pPr>
      <w:r w:rsidRPr="00D2098A">
        <w:rPr>
          <w:rFonts w:asciiTheme="minorHAnsi" w:hAnsiTheme="minorHAnsi"/>
          <w:b/>
          <w:i/>
          <w:lang w:val="es-MX"/>
        </w:rPr>
        <w:t>ICS</w:t>
      </w:r>
      <w:r w:rsidRPr="00D2098A">
        <w:rPr>
          <w:rFonts w:asciiTheme="minorHAnsi" w:hAnsiTheme="minorHAnsi" w:cs="Arial"/>
          <w:b/>
          <w:i/>
          <w:vertAlign w:val="subscript"/>
          <w:lang w:val="es-MX"/>
        </w:rPr>
        <w:t>14</w:t>
      </w:r>
      <w:r w:rsidR="00D92ACE" w:rsidRPr="00D2098A">
        <w:rPr>
          <w:rFonts w:asciiTheme="minorHAnsi" w:hAnsiTheme="minorHAnsi"/>
        </w:rPr>
        <w:t xml:space="preserve"> = Índice de Criterios Sustantivos del </w:t>
      </w:r>
      <w:r w:rsidRPr="00D2098A">
        <w:rPr>
          <w:rFonts w:asciiTheme="minorHAnsi" w:hAnsiTheme="minorHAnsi"/>
        </w:rPr>
        <w:t>A</w:t>
      </w:r>
      <w:r w:rsidR="00D92ACE" w:rsidRPr="00D2098A">
        <w:rPr>
          <w:rFonts w:asciiTheme="minorHAnsi" w:hAnsiTheme="minorHAnsi"/>
        </w:rPr>
        <w:t>rtículo 14.</w:t>
      </w:r>
    </w:p>
    <w:p w14:paraId="44790EE1" w14:textId="77777777" w:rsidR="00D92ACE" w:rsidRPr="00D2098A" w:rsidRDefault="00AB29AB" w:rsidP="00D92ACE">
      <w:pPr>
        <w:ind w:left="851" w:hanging="851"/>
        <w:rPr>
          <w:rFonts w:asciiTheme="minorHAnsi" w:hAnsiTheme="minorHAnsi"/>
        </w:rPr>
      </w:pPr>
      <w:r w:rsidRPr="00D2098A">
        <w:rPr>
          <w:rFonts w:asciiTheme="minorHAnsi" w:hAnsiTheme="minorHAnsi"/>
          <w:b/>
          <w:i/>
          <w:lang w:val="es-MX"/>
        </w:rPr>
        <w:t>ICS</w:t>
      </w:r>
      <w:r w:rsidRPr="00D2098A">
        <w:rPr>
          <w:rFonts w:asciiTheme="minorHAnsi" w:hAnsiTheme="minorHAnsi" w:cs="Arial"/>
          <w:b/>
          <w:i/>
          <w:vertAlign w:val="subscript"/>
          <w:lang w:val="es-MX"/>
        </w:rPr>
        <w:t>oe</w:t>
      </w:r>
      <w:r w:rsidRPr="00D2098A">
        <w:rPr>
          <w:rFonts w:asciiTheme="minorHAnsi" w:hAnsiTheme="minorHAnsi"/>
        </w:rPr>
        <w:t xml:space="preserve"> </w:t>
      </w:r>
      <w:r w:rsidR="00D92ACE" w:rsidRPr="00D2098A">
        <w:rPr>
          <w:rFonts w:asciiTheme="minorHAnsi" w:hAnsiTheme="minorHAnsi"/>
        </w:rPr>
        <w:t>= Índice de Criterios Sustantivos de las obligaciones específicas de cada Ente.</w:t>
      </w:r>
    </w:p>
    <w:p w14:paraId="733CB55C" w14:textId="77777777" w:rsidR="00D92ACE" w:rsidRPr="00D2098A" w:rsidRDefault="00AB29AB" w:rsidP="00D92ACE">
      <w:pPr>
        <w:rPr>
          <w:rFonts w:asciiTheme="minorHAnsi" w:hAnsiTheme="minorHAnsi"/>
        </w:rPr>
      </w:pPr>
      <w:r w:rsidRPr="00D2098A">
        <w:rPr>
          <w:rFonts w:asciiTheme="minorHAnsi" w:hAnsiTheme="minorHAnsi"/>
          <w:b/>
          <w:i/>
          <w:lang w:val="es-MX"/>
        </w:rPr>
        <w:t>ICS</w:t>
      </w:r>
      <w:r w:rsidRPr="00D2098A">
        <w:rPr>
          <w:rFonts w:asciiTheme="minorHAnsi" w:hAnsiTheme="minorHAnsi" w:cs="Arial"/>
          <w:b/>
          <w:i/>
          <w:vertAlign w:val="subscript"/>
          <w:lang w:val="es-MX"/>
        </w:rPr>
        <w:t>25</w:t>
      </w:r>
      <w:r w:rsidR="00D92ACE" w:rsidRPr="00D2098A">
        <w:rPr>
          <w:rFonts w:asciiTheme="minorHAnsi" w:hAnsiTheme="minorHAnsi"/>
        </w:rPr>
        <w:t xml:space="preserve"> = Índice de Criterios Sustantivos del </w:t>
      </w:r>
      <w:r w:rsidRPr="00D2098A">
        <w:rPr>
          <w:rFonts w:asciiTheme="minorHAnsi" w:hAnsiTheme="minorHAnsi"/>
        </w:rPr>
        <w:t>A</w:t>
      </w:r>
      <w:r w:rsidR="00D92ACE" w:rsidRPr="00D2098A">
        <w:rPr>
          <w:rFonts w:asciiTheme="minorHAnsi" w:hAnsiTheme="minorHAnsi"/>
        </w:rPr>
        <w:t>rtículo 25.</w:t>
      </w:r>
    </w:p>
    <w:p w14:paraId="7B0692A3" w14:textId="77777777" w:rsidR="00D92ACE" w:rsidRPr="00D2098A" w:rsidRDefault="00AB29AB" w:rsidP="00D92ACE">
      <w:pPr>
        <w:rPr>
          <w:rFonts w:asciiTheme="minorHAnsi" w:hAnsiTheme="minorHAnsi"/>
        </w:rPr>
      </w:pPr>
      <w:r w:rsidRPr="00D2098A">
        <w:rPr>
          <w:rFonts w:asciiTheme="minorHAnsi" w:hAnsiTheme="minorHAnsi"/>
          <w:b/>
          <w:i/>
          <w:lang w:val="es-MX"/>
        </w:rPr>
        <w:t>ICS</w:t>
      </w:r>
      <w:r w:rsidRPr="00D2098A">
        <w:rPr>
          <w:rFonts w:asciiTheme="minorHAnsi" w:hAnsiTheme="minorHAnsi" w:cs="Arial"/>
          <w:b/>
          <w:i/>
          <w:vertAlign w:val="subscript"/>
          <w:lang w:val="es-MX"/>
        </w:rPr>
        <w:t>27</w:t>
      </w:r>
      <w:r w:rsidR="00D92ACE" w:rsidRPr="00D2098A">
        <w:rPr>
          <w:rFonts w:asciiTheme="minorHAnsi" w:hAnsiTheme="minorHAnsi"/>
        </w:rPr>
        <w:t xml:space="preserve"> = Índice de Criterios Sustantivos del </w:t>
      </w:r>
      <w:r w:rsidRPr="00D2098A">
        <w:rPr>
          <w:rFonts w:asciiTheme="minorHAnsi" w:hAnsiTheme="minorHAnsi"/>
        </w:rPr>
        <w:t>A</w:t>
      </w:r>
      <w:r w:rsidR="00D92ACE" w:rsidRPr="00D2098A">
        <w:rPr>
          <w:rFonts w:asciiTheme="minorHAnsi" w:hAnsiTheme="minorHAnsi"/>
        </w:rPr>
        <w:t>rtículo 27.</w:t>
      </w:r>
    </w:p>
    <w:p w14:paraId="4634801C" w14:textId="77777777" w:rsidR="00D92ACE" w:rsidRPr="00D2098A" w:rsidRDefault="00AB29AB" w:rsidP="00D92ACE">
      <w:pPr>
        <w:rPr>
          <w:rFonts w:asciiTheme="minorHAnsi" w:hAnsiTheme="minorHAnsi"/>
        </w:rPr>
      </w:pPr>
      <w:r w:rsidRPr="00D2098A">
        <w:rPr>
          <w:rFonts w:asciiTheme="minorHAnsi" w:hAnsiTheme="minorHAnsi"/>
          <w:b/>
          <w:i/>
          <w:lang w:val="es-MX"/>
        </w:rPr>
        <w:t>ICS</w:t>
      </w:r>
      <w:r w:rsidRPr="00D2098A">
        <w:rPr>
          <w:rFonts w:asciiTheme="minorHAnsi" w:hAnsiTheme="minorHAnsi" w:cs="Arial"/>
          <w:b/>
          <w:i/>
          <w:vertAlign w:val="subscript"/>
          <w:lang w:val="es-MX"/>
        </w:rPr>
        <w:t>29</w:t>
      </w:r>
      <w:r w:rsidR="00D92ACE" w:rsidRPr="00D2098A">
        <w:rPr>
          <w:rFonts w:asciiTheme="minorHAnsi" w:hAnsiTheme="minorHAnsi"/>
        </w:rPr>
        <w:t xml:space="preserve"> = Índice de Criterios Sustantivos del </w:t>
      </w:r>
      <w:r w:rsidRPr="00D2098A">
        <w:rPr>
          <w:rFonts w:asciiTheme="minorHAnsi" w:hAnsiTheme="minorHAnsi"/>
        </w:rPr>
        <w:t>A</w:t>
      </w:r>
      <w:r w:rsidR="00D92ACE" w:rsidRPr="00D2098A">
        <w:rPr>
          <w:rFonts w:asciiTheme="minorHAnsi" w:hAnsiTheme="minorHAnsi"/>
        </w:rPr>
        <w:t>rtículo 29.</w:t>
      </w:r>
    </w:p>
    <w:p w14:paraId="6723869D" w14:textId="77777777" w:rsidR="00D92ACE" w:rsidRPr="00D2098A" w:rsidRDefault="00AB29AB" w:rsidP="00D92ACE">
      <w:pPr>
        <w:rPr>
          <w:rFonts w:asciiTheme="minorHAnsi" w:hAnsiTheme="minorHAnsi"/>
        </w:rPr>
      </w:pPr>
      <w:r w:rsidRPr="00D2098A">
        <w:rPr>
          <w:rFonts w:asciiTheme="minorHAnsi" w:hAnsiTheme="minorHAnsi"/>
          <w:b/>
          <w:i/>
          <w:lang w:val="es-MX"/>
        </w:rPr>
        <w:t>ICS</w:t>
      </w:r>
      <w:r w:rsidRPr="00D2098A">
        <w:rPr>
          <w:rFonts w:asciiTheme="minorHAnsi" w:hAnsiTheme="minorHAnsi" w:cs="Arial"/>
          <w:b/>
          <w:i/>
          <w:vertAlign w:val="subscript"/>
          <w:lang w:val="es-MX"/>
        </w:rPr>
        <w:t>30</w:t>
      </w:r>
      <w:r w:rsidR="00D92ACE" w:rsidRPr="00D2098A">
        <w:rPr>
          <w:rFonts w:asciiTheme="minorHAnsi" w:hAnsiTheme="minorHAnsi"/>
        </w:rPr>
        <w:t xml:space="preserve"> = Índice de Criterios Sustantivos del </w:t>
      </w:r>
      <w:r w:rsidRPr="00D2098A">
        <w:rPr>
          <w:rFonts w:asciiTheme="minorHAnsi" w:hAnsiTheme="minorHAnsi"/>
        </w:rPr>
        <w:t>A</w:t>
      </w:r>
      <w:r w:rsidR="00D92ACE" w:rsidRPr="00D2098A">
        <w:rPr>
          <w:rFonts w:asciiTheme="minorHAnsi" w:hAnsiTheme="minorHAnsi"/>
        </w:rPr>
        <w:t>rtículo 30.</w:t>
      </w:r>
    </w:p>
    <w:p w14:paraId="58F02A12" w14:textId="77777777" w:rsidR="00D92ACE" w:rsidRPr="00D2098A" w:rsidRDefault="00AB29AB" w:rsidP="00D92ACE">
      <w:pPr>
        <w:rPr>
          <w:rFonts w:asciiTheme="minorHAnsi" w:hAnsiTheme="minorHAnsi"/>
        </w:rPr>
      </w:pPr>
      <w:r w:rsidRPr="00D2098A">
        <w:rPr>
          <w:rFonts w:asciiTheme="minorHAnsi" w:hAnsiTheme="minorHAnsi"/>
          <w:b/>
          <w:i/>
          <w:lang w:val="es-MX"/>
        </w:rPr>
        <w:t>ICA</w:t>
      </w:r>
      <w:r w:rsidRPr="00D2098A">
        <w:rPr>
          <w:rFonts w:asciiTheme="minorHAnsi" w:hAnsiTheme="minorHAnsi" w:cs="Arial"/>
          <w:b/>
          <w:i/>
          <w:vertAlign w:val="subscript"/>
          <w:lang w:val="es-MX"/>
        </w:rPr>
        <w:t>13</w:t>
      </w:r>
      <w:r w:rsidR="00D92ACE" w:rsidRPr="00D2098A">
        <w:rPr>
          <w:rFonts w:asciiTheme="minorHAnsi" w:hAnsiTheme="minorHAnsi"/>
        </w:rPr>
        <w:t xml:space="preserve"> = Índice de Criterios Adjetivos del </w:t>
      </w:r>
      <w:r w:rsidRPr="00D2098A">
        <w:rPr>
          <w:rFonts w:asciiTheme="minorHAnsi" w:hAnsiTheme="minorHAnsi"/>
        </w:rPr>
        <w:t>A</w:t>
      </w:r>
      <w:r w:rsidR="00D92ACE" w:rsidRPr="00D2098A">
        <w:rPr>
          <w:rFonts w:asciiTheme="minorHAnsi" w:hAnsiTheme="minorHAnsi"/>
        </w:rPr>
        <w:t>rtículo 13.</w:t>
      </w:r>
    </w:p>
    <w:p w14:paraId="108AEA1B" w14:textId="77777777" w:rsidR="00D92ACE" w:rsidRPr="00D2098A" w:rsidRDefault="00AB29AB" w:rsidP="00D92ACE">
      <w:pPr>
        <w:rPr>
          <w:rFonts w:asciiTheme="minorHAnsi" w:hAnsiTheme="minorHAnsi"/>
        </w:rPr>
      </w:pPr>
      <w:r w:rsidRPr="00D2098A">
        <w:rPr>
          <w:rFonts w:asciiTheme="minorHAnsi" w:hAnsiTheme="minorHAnsi"/>
          <w:b/>
          <w:i/>
          <w:lang w:val="es-MX"/>
        </w:rPr>
        <w:t>ICA</w:t>
      </w:r>
      <w:r w:rsidRPr="00D2098A">
        <w:rPr>
          <w:rFonts w:asciiTheme="minorHAnsi" w:hAnsiTheme="minorHAnsi" w:cs="Arial"/>
          <w:b/>
          <w:i/>
          <w:vertAlign w:val="subscript"/>
          <w:lang w:val="es-MX"/>
        </w:rPr>
        <w:t>14</w:t>
      </w:r>
      <w:r w:rsidR="00D92ACE" w:rsidRPr="00D2098A">
        <w:rPr>
          <w:rFonts w:asciiTheme="minorHAnsi" w:hAnsiTheme="minorHAnsi"/>
        </w:rPr>
        <w:t xml:space="preserve"> = Índice de Criterios Adjetivos del </w:t>
      </w:r>
      <w:r w:rsidRPr="00D2098A">
        <w:rPr>
          <w:rFonts w:asciiTheme="minorHAnsi" w:hAnsiTheme="minorHAnsi"/>
        </w:rPr>
        <w:t>A</w:t>
      </w:r>
      <w:r w:rsidR="00D92ACE" w:rsidRPr="00D2098A">
        <w:rPr>
          <w:rFonts w:asciiTheme="minorHAnsi" w:hAnsiTheme="minorHAnsi"/>
        </w:rPr>
        <w:t>rtículo 14.</w:t>
      </w:r>
    </w:p>
    <w:p w14:paraId="3C43C10F" w14:textId="77777777" w:rsidR="00D92ACE" w:rsidRPr="00D2098A" w:rsidRDefault="00AB29AB" w:rsidP="00D92ACE">
      <w:pPr>
        <w:rPr>
          <w:rFonts w:asciiTheme="minorHAnsi" w:hAnsiTheme="minorHAnsi"/>
        </w:rPr>
      </w:pPr>
      <w:r w:rsidRPr="00D2098A">
        <w:rPr>
          <w:rFonts w:asciiTheme="minorHAnsi" w:hAnsiTheme="minorHAnsi"/>
          <w:b/>
          <w:i/>
          <w:lang w:val="es-MX"/>
        </w:rPr>
        <w:t>ICA</w:t>
      </w:r>
      <w:r w:rsidRPr="00D2098A">
        <w:rPr>
          <w:rFonts w:asciiTheme="minorHAnsi" w:hAnsiTheme="minorHAnsi" w:cs="Arial"/>
          <w:b/>
          <w:i/>
          <w:vertAlign w:val="subscript"/>
          <w:lang w:val="es-MX"/>
        </w:rPr>
        <w:t>oe</w:t>
      </w:r>
      <w:r w:rsidRPr="00D2098A">
        <w:rPr>
          <w:rFonts w:asciiTheme="minorHAnsi" w:hAnsiTheme="minorHAnsi"/>
        </w:rPr>
        <w:t xml:space="preserve"> </w:t>
      </w:r>
      <w:r w:rsidR="00D92ACE" w:rsidRPr="00D2098A">
        <w:rPr>
          <w:rFonts w:asciiTheme="minorHAnsi" w:hAnsiTheme="minorHAnsi"/>
        </w:rPr>
        <w:t>= Índice de Criterios Adjetivos de las obligaciones específicas de cada Ente.</w:t>
      </w:r>
    </w:p>
    <w:p w14:paraId="0E523F95" w14:textId="77777777" w:rsidR="00D92ACE" w:rsidRPr="00D2098A" w:rsidRDefault="00AB29AB" w:rsidP="00D92ACE">
      <w:pPr>
        <w:rPr>
          <w:rFonts w:asciiTheme="minorHAnsi" w:hAnsiTheme="minorHAnsi"/>
        </w:rPr>
      </w:pPr>
      <w:r w:rsidRPr="00D2098A">
        <w:rPr>
          <w:rFonts w:asciiTheme="minorHAnsi" w:hAnsiTheme="minorHAnsi"/>
          <w:b/>
          <w:i/>
          <w:lang w:val="es-MX"/>
        </w:rPr>
        <w:t>ICA</w:t>
      </w:r>
      <w:r w:rsidRPr="00D2098A">
        <w:rPr>
          <w:rFonts w:asciiTheme="minorHAnsi" w:hAnsiTheme="minorHAnsi" w:cs="Arial"/>
          <w:b/>
          <w:i/>
          <w:vertAlign w:val="subscript"/>
          <w:lang w:val="es-MX"/>
        </w:rPr>
        <w:t>25</w:t>
      </w:r>
      <w:r w:rsidR="00D92ACE" w:rsidRPr="00D2098A">
        <w:rPr>
          <w:rFonts w:asciiTheme="minorHAnsi" w:hAnsiTheme="minorHAnsi"/>
        </w:rPr>
        <w:t xml:space="preserve"> = Índice de Criterios Adjetivos del </w:t>
      </w:r>
      <w:r w:rsidRPr="00D2098A">
        <w:rPr>
          <w:rFonts w:asciiTheme="minorHAnsi" w:hAnsiTheme="minorHAnsi"/>
        </w:rPr>
        <w:t>A</w:t>
      </w:r>
      <w:r w:rsidR="00D92ACE" w:rsidRPr="00D2098A">
        <w:rPr>
          <w:rFonts w:asciiTheme="minorHAnsi" w:hAnsiTheme="minorHAnsi"/>
        </w:rPr>
        <w:t>rtículo 25.</w:t>
      </w:r>
    </w:p>
    <w:p w14:paraId="045DF686" w14:textId="77777777" w:rsidR="00D92ACE" w:rsidRPr="00D2098A" w:rsidRDefault="00AB29AB" w:rsidP="00D92ACE">
      <w:pPr>
        <w:rPr>
          <w:rFonts w:asciiTheme="minorHAnsi" w:hAnsiTheme="minorHAnsi"/>
        </w:rPr>
      </w:pPr>
      <w:r w:rsidRPr="00D2098A">
        <w:rPr>
          <w:rFonts w:asciiTheme="minorHAnsi" w:hAnsiTheme="minorHAnsi"/>
          <w:b/>
          <w:i/>
          <w:lang w:val="es-MX"/>
        </w:rPr>
        <w:t>ICA</w:t>
      </w:r>
      <w:r w:rsidRPr="00D2098A">
        <w:rPr>
          <w:rFonts w:asciiTheme="minorHAnsi" w:hAnsiTheme="minorHAnsi" w:cs="Arial"/>
          <w:b/>
          <w:i/>
          <w:vertAlign w:val="subscript"/>
          <w:lang w:val="es-MX"/>
        </w:rPr>
        <w:t>27</w:t>
      </w:r>
      <w:r w:rsidR="00D92ACE" w:rsidRPr="00D2098A">
        <w:rPr>
          <w:rFonts w:asciiTheme="minorHAnsi" w:hAnsiTheme="minorHAnsi"/>
        </w:rPr>
        <w:t xml:space="preserve"> = Índice de Criterios Adjetivos del </w:t>
      </w:r>
      <w:r w:rsidRPr="00D2098A">
        <w:rPr>
          <w:rFonts w:asciiTheme="minorHAnsi" w:hAnsiTheme="minorHAnsi"/>
        </w:rPr>
        <w:t>A</w:t>
      </w:r>
      <w:r w:rsidR="00D92ACE" w:rsidRPr="00D2098A">
        <w:rPr>
          <w:rFonts w:asciiTheme="minorHAnsi" w:hAnsiTheme="minorHAnsi"/>
        </w:rPr>
        <w:t>rtículo 27.</w:t>
      </w:r>
    </w:p>
    <w:p w14:paraId="23C7196B" w14:textId="77777777" w:rsidR="00D92ACE" w:rsidRPr="00D2098A" w:rsidRDefault="00AB29AB" w:rsidP="00D92ACE">
      <w:pPr>
        <w:rPr>
          <w:rFonts w:asciiTheme="minorHAnsi" w:hAnsiTheme="minorHAnsi"/>
        </w:rPr>
      </w:pPr>
      <w:r w:rsidRPr="00D2098A">
        <w:rPr>
          <w:rFonts w:asciiTheme="minorHAnsi" w:hAnsiTheme="minorHAnsi"/>
          <w:b/>
          <w:i/>
          <w:lang w:val="es-MX"/>
        </w:rPr>
        <w:t>ICA</w:t>
      </w:r>
      <w:r w:rsidRPr="00D2098A">
        <w:rPr>
          <w:rFonts w:asciiTheme="minorHAnsi" w:hAnsiTheme="minorHAnsi" w:cs="Arial"/>
          <w:b/>
          <w:i/>
          <w:vertAlign w:val="subscript"/>
          <w:lang w:val="es-MX"/>
        </w:rPr>
        <w:t>29</w:t>
      </w:r>
      <w:r w:rsidR="00D92ACE" w:rsidRPr="00D2098A">
        <w:rPr>
          <w:rFonts w:asciiTheme="minorHAnsi" w:hAnsiTheme="minorHAnsi"/>
        </w:rPr>
        <w:t xml:space="preserve"> = Índice de Criterios Adjetivos del </w:t>
      </w:r>
      <w:r w:rsidRPr="00D2098A">
        <w:rPr>
          <w:rFonts w:asciiTheme="minorHAnsi" w:hAnsiTheme="minorHAnsi"/>
        </w:rPr>
        <w:t>A</w:t>
      </w:r>
      <w:r w:rsidR="00D92ACE" w:rsidRPr="00D2098A">
        <w:rPr>
          <w:rFonts w:asciiTheme="minorHAnsi" w:hAnsiTheme="minorHAnsi"/>
        </w:rPr>
        <w:t>rtículo 29.</w:t>
      </w:r>
    </w:p>
    <w:p w14:paraId="2826F431" w14:textId="77777777" w:rsidR="00D92ACE" w:rsidRPr="00D2098A" w:rsidRDefault="00AB29AB" w:rsidP="00D92ACE">
      <w:pPr>
        <w:rPr>
          <w:rFonts w:asciiTheme="minorHAnsi" w:hAnsiTheme="minorHAnsi"/>
        </w:rPr>
      </w:pPr>
      <w:r w:rsidRPr="00D2098A">
        <w:rPr>
          <w:rFonts w:asciiTheme="minorHAnsi" w:hAnsiTheme="minorHAnsi"/>
          <w:b/>
          <w:i/>
          <w:lang w:val="es-MX"/>
        </w:rPr>
        <w:t>ICA</w:t>
      </w:r>
      <w:r w:rsidRPr="00D2098A">
        <w:rPr>
          <w:rFonts w:asciiTheme="minorHAnsi" w:hAnsiTheme="minorHAnsi" w:cs="Arial"/>
          <w:b/>
          <w:i/>
          <w:vertAlign w:val="subscript"/>
          <w:lang w:val="es-MX"/>
        </w:rPr>
        <w:t>30</w:t>
      </w:r>
      <w:r w:rsidR="00D92ACE" w:rsidRPr="00D2098A">
        <w:rPr>
          <w:rFonts w:asciiTheme="minorHAnsi" w:hAnsiTheme="minorHAnsi"/>
        </w:rPr>
        <w:t xml:space="preserve"> = Índice de Criterios Adjetivos del artículo 30.</w:t>
      </w:r>
    </w:p>
    <w:p w14:paraId="7972B8DD" w14:textId="77777777" w:rsidR="00AB29AB" w:rsidRPr="00D2098A" w:rsidRDefault="00AB29AB" w:rsidP="00AB29AB">
      <w:pPr>
        <w:rPr>
          <w:rFonts w:asciiTheme="minorHAnsi" w:hAnsiTheme="minorHAnsi"/>
        </w:rPr>
      </w:pPr>
      <w:r w:rsidRPr="00D2098A">
        <w:rPr>
          <w:rFonts w:asciiTheme="minorHAnsi" w:hAnsiTheme="minorHAnsi"/>
          <w:b/>
          <w:i/>
          <w:lang w:val="es-MX"/>
        </w:rPr>
        <w:t>IC</w:t>
      </w:r>
      <w:r w:rsidRPr="00D2098A">
        <w:rPr>
          <w:rFonts w:asciiTheme="minorHAnsi" w:hAnsiTheme="minorHAnsi" w:cs="Arial"/>
          <w:b/>
          <w:i/>
          <w:vertAlign w:val="subscript"/>
          <w:lang w:val="es-MX"/>
        </w:rPr>
        <w:t>28</w:t>
      </w:r>
      <w:r w:rsidRPr="00D2098A">
        <w:rPr>
          <w:rFonts w:asciiTheme="minorHAnsi" w:hAnsiTheme="minorHAnsi"/>
        </w:rPr>
        <w:t xml:space="preserve">   = Índice de Cumplimiento del Artículo 28.</w:t>
      </w:r>
    </w:p>
    <w:p w14:paraId="412AF7E9" w14:textId="77777777" w:rsidR="003F67DD" w:rsidRPr="00D2098A" w:rsidRDefault="003F67DD" w:rsidP="0034414F">
      <w:pPr>
        <w:rPr>
          <w:rFonts w:asciiTheme="minorHAnsi" w:hAnsiTheme="minorHAnsi"/>
        </w:rPr>
      </w:pPr>
    </w:p>
    <w:p w14:paraId="287588C7" w14:textId="77777777" w:rsidR="007628AF" w:rsidRPr="00D2098A" w:rsidRDefault="00235238" w:rsidP="0034414F">
      <w:pPr>
        <w:rPr>
          <w:rFonts w:asciiTheme="minorHAnsi" w:hAnsiTheme="minorHAnsi"/>
        </w:rPr>
      </w:pPr>
      <w:r w:rsidRPr="00D2098A">
        <w:rPr>
          <w:rFonts w:asciiTheme="minorHAnsi" w:hAnsiTheme="minorHAnsi"/>
        </w:rPr>
        <w:t>D</w:t>
      </w:r>
      <w:r w:rsidR="0034414F" w:rsidRPr="00D2098A">
        <w:rPr>
          <w:rFonts w:asciiTheme="minorHAnsi" w:hAnsiTheme="minorHAnsi"/>
        </w:rPr>
        <w:t xml:space="preserve">entro de cada </w:t>
      </w:r>
      <w:r w:rsidR="00600872" w:rsidRPr="00D2098A">
        <w:rPr>
          <w:rFonts w:asciiTheme="minorHAnsi" w:hAnsiTheme="minorHAnsi"/>
        </w:rPr>
        <w:t>Í</w:t>
      </w:r>
      <w:r w:rsidR="0034414F" w:rsidRPr="00D2098A">
        <w:rPr>
          <w:rFonts w:asciiTheme="minorHAnsi" w:hAnsiTheme="minorHAnsi"/>
        </w:rPr>
        <w:t xml:space="preserve">ndice Compuesto, se estableció la siguiente ponderación: </w:t>
      </w:r>
      <w:r w:rsidR="00D92ACE" w:rsidRPr="00D2098A">
        <w:rPr>
          <w:rFonts w:asciiTheme="minorHAnsi" w:hAnsiTheme="minorHAnsi"/>
        </w:rPr>
        <w:t>los índices del artículo 13 tendrán un peso de 10</w:t>
      </w:r>
      <w:r w:rsidR="007628AF" w:rsidRPr="00D2098A">
        <w:rPr>
          <w:rFonts w:asciiTheme="minorHAnsi" w:hAnsiTheme="minorHAnsi"/>
        </w:rPr>
        <w:t xml:space="preserve"> por ciento</w:t>
      </w:r>
      <w:r w:rsidR="00D92ACE" w:rsidRPr="00D2098A">
        <w:rPr>
          <w:rFonts w:asciiTheme="minorHAnsi" w:hAnsiTheme="minorHAnsi"/>
        </w:rPr>
        <w:t xml:space="preserve"> dentro de los índices compuestos, los índices de las obligaciones genéricas del artículo 14 tendrán un peso de 45</w:t>
      </w:r>
      <w:r w:rsidR="007628AF" w:rsidRPr="00D2098A">
        <w:rPr>
          <w:rFonts w:asciiTheme="minorHAnsi" w:hAnsiTheme="minorHAnsi"/>
        </w:rPr>
        <w:t xml:space="preserve"> por ciento</w:t>
      </w:r>
      <w:r w:rsidR="00D92ACE" w:rsidRPr="00D2098A">
        <w:rPr>
          <w:rFonts w:asciiTheme="minorHAnsi" w:hAnsiTheme="minorHAnsi"/>
        </w:rPr>
        <w:t>, los índices de obligaciones específicas (artículos 15 a 22 de la LTAIPDF) tendrán el 20</w:t>
      </w:r>
      <w:r w:rsidR="007628AF" w:rsidRPr="00D2098A">
        <w:rPr>
          <w:rFonts w:asciiTheme="minorHAnsi" w:hAnsiTheme="minorHAnsi"/>
        </w:rPr>
        <w:t xml:space="preserve"> por ciento</w:t>
      </w:r>
      <w:r w:rsidR="00D92ACE" w:rsidRPr="00D2098A">
        <w:rPr>
          <w:rFonts w:asciiTheme="minorHAnsi" w:hAnsiTheme="minorHAnsi"/>
        </w:rPr>
        <w:t>, y los índices de obligaciones que corresponden a los artículos 25, 27, 28, 29 y 30 de la LTAIPDF, tendrán un peso de</w:t>
      </w:r>
      <w:r w:rsidR="007628AF" w:rsidRPr="00D2098A">
        <w:rPr>
          <w:rFonts w:asciiTheme="minorHAnsi" w:hAnsiTheme="minorHAnsi"/>
        </w:rPr>
        <w:t>l</w:t>
      </w:r>
      <w:r w:rsidR="00D92ACE" w:rsidRPr="00D2098A">
        <w:rPr>
          <w:rFonts w:asciiTheme="minorHAnsi" w:hAnsiTheme="minorHAnsi"/>
        </w:rPr>
        <w:t xml:space="preserve"> 5</w:t>
      </w:r>
      <w:r w:rsidR="007628AF" w:rsidRPr="00D2098A">
        <w:rPr>
          <w:rFonts w:asciiTheme="minorHAnsi" w:hAnsiTheme="minorHAnsi"/>
        </w:rPr>
        <w:t xml:space="preserve"> por ciento</w:t>
      </w:r>
      <w:r w:rsidR="00D92ACE" w:rsidRPr="00D2098A">
        <w:rPr>
          <w:rFonts w:asciiTheme="minorHAnsi" w:hAnsiTheme="minorHAnsi"/>
        </w:rPr>
        <w:t xml:space="preserve"> cada uno. </w:t>
      </w:r>
      <w:r w:rsidR="007628AF" w:rsidRPr="00D2098A">
        <w:rPr>
          <w:rFonts w:asciiTheme="minorHAnsi" w:hAnsiTheme="minorHAnsi"/>
        </w:rPr>
        <w:t xml:space="preserve">Es de señalar que </w:t>
      </w:r>
      <w:r w:rsidR="001948F0" w:rsidRPr="00D2098A">
        <w:rPr>
          <w:rFonts w:asciiTheme="minorHAnsi" w:hAnsiTheme="minorHAnsi"/>
        </w:rPr>
        <w:t xml:space="preserve">los Artículo </w:t>
      </w:r>
      <w:r w:rsidR="007628AF" w:rsidRPr="00D2098A">
        <w:rPr>
          <w:rFonts w:asciiTheme="minorHAnsi" w:hAnsiTheme="minorHAnsi"/>
        </w:rPr>
        <w:t>23</w:t>
      </w:r>
      <w:r w:rsidR="001948F0" w:rsidRPr="00D2098A">
        <w:rPr>
          <w:rFonts w:asciiTheme="minorHAnsi" w:hAnsiTheme="minorHAnsi"/>
        </w:rPr>
        <w:t xml:space="preserve"> y 24 se evalúan en la Fracción XXVII </w:t>
      </w:r>
      <w:r w:rsidR="007628AF" w:rsidRPr="00D2098A">
        <w:rPr>
          <w:rFonts w:asciiTheme="minorHAnsi" w:hAnsiTheme="minorHAnsi"/>
        </w:rPr>
        <w:t>y</w:t>
      </w:r>
      <w:r w:rsidR="001948F0" w:rsidRPr="00D2098A">
        <w:rPr>
          <w:rFonts w:asciiTheme="minorHAnsi" w:hAnsiTheme="minorHAnsi"/>
        </w:rPr>
        <w:t xml:space="preserve"> XVIII, respectivamente </w:t>
      </w:r>
      <w:r w:rsidR="0063491C" w:rsidRPr="00D2098A">
        <w:rPr>
          <w:rFonts w:asciiTheme="minorHAnsi" w:hAnsiTheme="minorHAnsi"/>
        </w:rPr>
        <w:t xml:space="preserve">contenidos </w:t>
      </w:r>
      <w:r w:rsidR="001948F0" w:rsidRPr="00D2098A">
        <w:rPr>
          <w:rFonts w:asciiTheme="minorHAnsi" w:hAnsiTheme="minorHAnsi"/>
        </w:rPr>
        <w:t>en el Artículo 14 de la Ley en comento.</w:t>
      </w:r>
    </w:p>
    <w:p w14:paraId="400CF9AF" w14:textId="77777777" w:rsidR="009E4F01" w:rsidRPr="00D2098A" w:rsidRDefault="009E4F01" w:rsidP="0034414F">
      <w:pPr>
        <w:rPr>
          <w:rFonts w:asciiTheme="minorHAnsi" w:hAnsiTheme="minorHAnsi"/>
        </w:rPr>
      </w:pPr>
    </w:p>
    <w:p w14:paraId="4CD37BAD" w14:textId="77777777" w:rsidR="009E4F01" w:rsidRPr="00D2098A" w:rsidRDefault="009E4F01" w:rsidP="009E4F01">
      <w:pPr>
        <w:rPr>
          <w:rFonts w:asciiTheme="minorHAnsi" w:hAnsiTheme="minorHAnsi"/>
        </w:rPr>
      </w:pPr>
      <w:r w:rsidRPr="00D2098A">
        <w:rPr>
          <w:rFonts w:asciiTheme="minorHAnsi" w:hAnsiTheme="minorHAnsi"/>
        </w:rPr>
        <w:t>Cabe señalar que, para el caso del artículo 28 que no está diferenciado en Índice de Criterios Adjetivos e Índice de Criterios Sustantivos, sólo tendrá un Índice de Cumplimiento del Artículo 28 (</w:t>
      </w:r>
      <w:r w:rsidR="001D1056" w:rsidRPr="00D2098A">
        <w:rPr>
          <w:rFonts w:asciiTheme="minorHAnsi" w:hAnsiTheme="minorHAnsi"/>
          <w:b/>
          <w:i/>
          <w:lang w:val="es-MX"/>
        </w:rPr>
        <w:t>IC</w:t>
      </w:r>
      <w:r w:rsidR="001D1056" w:rsidRPr="00D2098A">
        <w:rPr>
          <w:rFonts w:asciiTheme="minorHAnsi" w:hAnsiTheme="minorHAnsi" w:cs="Arial"/>
          <w:b/>
          <w:i/>
          <w:vertAlign w:val="subscript"/>
          <w:lang w:val="es-MX"/>
        </w:rPr>
        <w:t>28</w:t>
      </w:r>
      <w:r w:rsidRPr="00D2098A">
        <w:rPr>
          <w:rFonts w:asciiTheme="minorHAnsi" w:hAnsiTheme="minorHAnsi"/>
        </w:rPr>
        <w:t>)</w:t>
      </w:r>
      <w:r w:rsidR="009775AC" w:rsidRPr="00D2098A">
        <w:rPr>
          <w:rFonts w:asciiTheme="minorHAnsi" w:hAnsiTheme="minorHAnsi"/>
        </w:rPr>
        <w:t>.</w:t>
      </w:r>
      <w:r w:rsidRPr="00D2098A">
        <w:rPr>
          <w:rFonts w:asciiTheme="minorHAnsi" w:hAnsiTheme="minorHAnsi"/>
        </w:rPr>
        <w:t xml:space="preserve"> </w:t>
      </w:r>
      <w:r w:rsidR="009775AC" w:rsidRPr="00D2098A">
        <w:rPr>
          <w:rFonts w:asciiTheme="minorHAnsi" w:hAnsiTheme="minorHAnsi"/>
        </w:rPr>
        <w:t>E</w:t>
      </w:r>
      <w:r w:rsidRPr="00D2098A">
        <w:rPr>
          <w:rFonts w:asciiTheme="minorHAnsi" w:hAnsiTheme="minorHAnsi"/>
        </w:rPr>
        <w:t>l valor de éste se tomará tanto para el cálculo del Índice Compuesto de Criterios Sustantivos (</w:t>
      </w:r>
      <w:r w:rsidR="001D1056" w:rsidRPr="00D2098A">
        <w:rPr>
          <w:rFonts w:asciiTheme="minorHAnsi" w:hAnsiTheme="minorHAnsi"/>
          <w:b/>
          <w:i/>
          <w:lang w:val="es-MX"/>
        </w:rPr>
        <w:t>IC</w:t>
      </w:r>
      <w:r w:rsidR="001D1056" w:rsidRPr="00D2098A">
        <w:rPr>
          <w:rFonts w:asciiTheme="minorHAnsi" w:hAnsiTheme="minorHAnsi"/>
          <w:b/>
          <w:i/>
          <w:vertAlign w:val="subscript"/>
          <w:lang w:val="es-MX"/>
        </w:rPr>
        <w:t>CS</w:t>
      </w:r>
      <w:r w:rsidRPr="00D2098A">
        <w:rPr>
          <w:rFonts w:asciiTheme="minorHAnsi" w:hAnsiTheme="minorHAnsi"/>
        </w:rPr>
        <w:t>) como para el cálculo del Índice Compuesto de Criterios Adjetivos (</w:t>
      </w:r>
      <w:r w:rsidR="001D1056" w:rsidRPr="00D2098A">
        <w:rPr>
          <w:rFonts w:asciiTheme="minorHAnsi" w:hAnsiTheme="minorHAnsi"/>
          <w:b/>
          <w:i/>
          <w:lang w:val="es-MX"/>
        </w:rPr>
        <w:t>IC</w:t>
      </w:r>
      <w:r w:rsidR="001D1056" w:rsidRPr="00D2098A">
        <w:rPr>
          <w:rFonts w:asciiTheme="minorHAnsi" w:hAnsiTheme="minorHAnsi"/>
          <w:b/>
          <w:i/>
          <w:vertAlign w:val="subscript"/>
          <w:lang w:val="es-MX"/>
        </w:rPr>
        <w:t>CA</w:t>
      </w:r>
      <w:r w:rsidRPr="00D2098A">
        <w:rPr>
          <w:rFonts w:asciiTheme="minorHAnsi" w:hAnsiTheme="minorHAnsi"/>
        </w:rPr>
        <w:t>).</w:t>
      </w:r>
    </w:p>
    <w:p w14:paraId="683C722A" w14:textId="77777777" w:rsidR="009E4F01" w:rsidRPr="00D2098A" w:rsidRDefault="009E4F01" w:rsidP="0034414F">
      <w:pPr>
        <w:rPr>
          <w:rFonts w:asciiTheme="minorHAnsi" w:hAnsiTheme="minorHAnsi"/>
        </w:rPr>
      </w:pPr>
    </w:p>
    <w:p w14:paraId="71F498AF" w14:textId="77777777" w:rsidR="00235238" w:rsidRPr="00D2098A" w:rsidRDefault="00235238" w:rsidP="00235238">
      <w:pPr>
        <w:pStyle w:val="Prrafodelista"/>
        <w:numPr>
          <w:ilvl w:val="0"/>
          <w:numId w:val="29"/>
        </w:numPr>
        <w:rPr>
          <w:rFonts w:asciiTheme="minorHAnsi" w:hAnsiTheme="minorHAnsi"/>
          <w:b/>
          <w:i/>
        </w:rPr>
      </w:pPr>
      <w:r w:rsidRPr="00D2098A">
        <w:rPr>
          <w:rFonts w:asciiTheme="minorHAnsi" w:hAnsiTheme="minorHAnsi"/>
          <w:b/>
          <w:i/>
        </w:rPr>
        <w:t xml:space="preserve">Para </w:t>
      </w:r>
      <w:r w:rsidR="0088549B" w:rsidRPr="00D2098A">
        <w:rPr>
          <w:rFonts w:asciiTheme="minorHAnsi" w:hAnsiTheme="minorHAnsi"/>
          <w:b/>
          <w:i/>
        </w:rPr>
        <w:t>los Partidos Políticos</w:t>
      </w:r>
      <w:r w:rsidR="00CB060C" w:rsidRPr="00D2098A">
        <w:rPr>
          <w:rFonts w:asciiTheme="minorHAnsi" w:hAnsiTheme="minorHAnsi"/>
          <w:b/>
          <w:i/>
        </w:rPr>
        <w:t xml:space="preserve"> en el Distrito Federal</w:t>
      </w:r>
      <w:r w:rsidR="00285F19" w:rsidRPr="00D2098A">
        <w:rPr>
          <w:rFonts w:asciiTheme="minorHAnsi" w:hAnsiTheme="minorHAnsi"/>
          <w:b/>
          <w:i/>
        </w:rPr>
        <w:t>.</w:t>
      </w:r>
    </w:p>
    <w:p w14:paraId="4F927333" w14:textId="77777777" w:rsidR="009E4F01" w:rsidRPr="00D2098A" w:rsidRDefault="009E4F01" w:rsidP="003E075A">
      <w:pPr>
        <w:rPr>
          <w:rFonts w:asciiTheme="minorHAnsi" w:hAnsiTheme="minorHAnsi" w:cs="Arial"/>
        </w:rPr>
      </w:pPr>
    </w:p>
    <w:p w14:paraId="405A4EA8" w14:textId="77777777" w:rsidR="00D92ACE" w:rsidRPr="00D2098A" w:rsidRDefault="001948F0" w:rsidP="00570F47">
      <w:pPr>
        <w:rPr>
          <w:rFonts w:asciiTheme="minorHAnsi" w:hAnsiTheme="minorHAnsi"/>
        </w:rPr>
      </w:pPr>
      <w:r w:rsidRPr="00D2098A">
        <w:rPr>
          <w:rFonts w:asciiTheme="minorHAnsi" w:hAnsiTheme="minorHAnsi"/>
        </w:rPr>
        <w:t>Al igual que la metodología de e</w:t>
      </w:r>
      <w:r w:rsidR="00570F47" w:rsidRPr="00D2098A">
        <w:rPr>
          <w:rFonts w:asciiTheme="minorHAnsi" w:hAnsiTheme="minorHAnsi"/>
        </w:rPr>
        <w:t xml:space="preserve">valuación de los Entes </w:t>
      </w:r>
      <w:r w:rsidRPr="00D2098A">
        <w:rPr>
          <w:rFonts w:asciiTheme="minorHAnsi" w:hAnsiTheme="minorHAnsi"/>
        </w:rPr>
        <w:t>O</w:t>
      </w:r>
      <w:r w:rsidR="00D92ACE" w:rsidRPr="00D2098A">
        <w:rPr>
          <w:rFonts w:asciiTheme="minorHAnsi" w:hAnsiTheme="minorHAnsi"/>
        </w:rPr>
        <w:t>bligados</w:t>
      </w:r>
      <w:r w:rsidR="00570F47" w:rsidRPr="00D2098A">
        <w:rPr>
          <w:rFonts w:asciiTheme="minorHAnsi" w:hAnsiTheme="minorHAnsi"/>
        </w:rPr>
        <w:t xml:space="preserve">, </w:t>
      </w:r>
      <w:r w:rsidR="00D92ACE" w:rsidRPr="00D2098A">
        <w:rPr>
          <w:rFonts w:asciiTheme="minorHAnsi" w:hAnsiTheme="minorHAnsi"/>
        </w:rPr>
        <w:t>con el propósito de contar con un índice general que en un solo número refleje el desempeño de l</w:t>
      </w:r>
      <w:r w:rsidRPr="00D2098A">
        <w:rPr>
          <w:rFonts w:asciiTheme="minorHAnsi" w:hAnsiTheme="minorHAnsi"/>
        </w:rPr>
        <w:t>os Partidos Políticos</w:t>
      </w:r>
      <w:r w:rsidR="00D92ACE" w:rsidRPr="00D2098A">
        <w:rPr>
          <w:rFonts w:asciiTheme="minorHAnsi" w:hAnsiTheme="minorHAnsi"/>
        </w:rPr>
        <w:t xml:space="preserve"> </w:t>
      </w:r>
      <w:r w:rsidR="00FA225A" w:rsidRPr="00D2098A">
        <w:rPr>
          <w:rFonts w:asciiTheme="minorHAnsi" w:hAnsiTheme="minorHAnsi"/>
        </w:rPr>
        <w:t>en este ámbito</w:t>
      </w:r>
      <w:r w:rsidR="006D2C2D" w:rsidRPr="00D2098A">
        <w:rPr>
          <w:rFonts w:asciiTheme="minorHAnsi" w:hAnsiTheme="minorHAnsi"/>
        </w:rPr>
        <w:t>,</w:t>
      </w:r>
      <w:r w:rsidR="00D92ACE" w:rsidRPr="00D2098A">
        <w:rPr>
          <w:rFonts w:asciiTheme="minorHAnsi" w:hAnsiTheme="minorHAnsi"/>
          <w:lang w:val="es-MX"/>
        </w:rPr>
        <w:t xml:space="preserve"> </w:t>
      </w:r>
      <w:r w:rsidR="0034727C" w:rsidRPr="00D2098A">
        <w:rPr>
          <w:rFonts w:asciiTheme="minorHAnsi" w:hAnsiTheme="minorHAnsi"/>
          <w:lang w:val="es-MX"/>
        </w:rPr>
        <w:t xml:space="preserve">acorde a lo establecido </w:t>
      </w:r>
      <w:r w:rsidR="0034727C" w:rsidRPr="00D2098A">
        <w:rPr>
          <w:rFonts w:asciiTheme="minorHAnsi" w:hAnsiTheme="minorHAnsi" w:cs="Arial"/>
          <w:lang w:val="es-MX"/>
        </w:rPr>
        <w:t xml:space="preserve">en </w:t>
      </w:r>
      <w:r w:rsidR="006D2C2D" w:rsidRPr="00D2098A">
        <w:rPr>
          <w:rFonts w:asciiTheme="minorHAnsi" w:hAnsiTheme="minorHAnsi"/>
          <w:lang w:val="es-MX"/>
        </w:rPr>
        <w:t xml:space="preserve">el Código de Instituciones y Procedimientos Electorales del Distrito Federal (publicado el 20 de diciembre de 2010 en la Gaceta Oficial del Distrito Federal) y </w:t>
      </w:r>
      <w:r w:rsidR="0034727C" w:rsidRPr="00D2098A">
        <w:rPr>
          <w:rFonts w:asciiTheme="minorHAnsi" w:hAnsiTheme="minorHAnsi" w:cs="Arial"/>
          <w:lang w:val="es-MX"/>
        </w:rPr>
        <w:t xml:space="preserve">los </w:t>
      </w:r>
      <w:r w:rsidR="0034727C" w:rsidRPr="00D2098A">
        <w:rPr>
          <w:rFonts w:asciiTheme="minorHAnsi" w:hAnsiTheme="minorHAnsi" w:cs="Arial"/>
          <w:b/>
          <w:lang w:val="es-MX"/>
        </w:rPr>
        <w:t>“Criterios y metodología de evaluación de la información pública de oficio que deben dar a conocer en sus portales de la Internet los Partidos Políticos en DF”</w:t>
      </w:r>
      <w:r w:rsidR="0034727C" w:rsidRPr="00D2098A">
        <w:rPr>
          <w:rFonts w:asciiTheme="minorHAnsi" w:hAnsiTheme="minorHAnsi" w:cs="Arial"/>
          <w:lang w:val="es-MX"/>
        </w:rPr>
        <w:t>, aprobados por el Pleno del InfoDF, mediante acuerdo 0900/SO/06-07/2011</w:t>
      </w:r>
      <w:r w:rsidR="006D2C2D" w:rsidRPr="00D2098A">
        <w:rPr>
          <w:rFonts w:asciiTheme="minorHAnsi" w:hAnsiTheme="minorHAnsi" w:cs="Arial"/>
          <w:lang w:val="es-MX"/>
        </w:rPr>
        <w:t>;</w:t>
      </w:r>
      <w:r w:rsidR="0034727C" w:rsidRPr="00D2098A">
        <w:rPr>
          <w:rFonts w:asciiTheme="minorHAnsi" w:hAnsiTheme="minorHAnsi"/>
          <w:lang w:val="es-MX"/>
        </w:rPr>
        <w:t xml:space="preserve"> </w:t>
      </w:r>
      <w:r w:rsidR="006D2C2D" w:rsidRPr="00D2098A">
        <w:rPr>
          <w:rFonts w:asciiTheme="minorHAnsi" w:hAnsiTheme="minorHAnsi"/>
          <w:lang w:val="es-MX"/>
        </w:rPr>
        <w:t>se</w:t>
      </w:r>
      <w:r w:rsidR="00CE41E4" w:rsidRPr="00D2098A">
        <w:rPr>
          <w:rFonts w:asciiTheme="minorHAnsi" w:hAnsiTheme="minorHAnsi"/>
        </w:rPr>
        <w:t xml:space="preserve"> diseñó un </w:t>
      </w:r>
      <w:r w:rsidR="00CE41E4" w:rsidRPr="00D2098A">
        <w:rPr>
          <w:rFonts w:asciiTheme="minorHAnsi" w:hAnsiTheme="minorHAnsi"/>
          <w:b/>
        </w:rPr>
        <w:t xml:space="preserve">Índice Global del Cumplimiento de las Obligaciones de Transparencia </w:t>
      </w:r>
      <w:r w:rsidR="00CE41E4" w:rsidRPr="00D2098A">
        <w:rPr>
          <w:rFonts w:asciiTheme="minorHAnsi" w:hAnsiTheme="minorHAnsi"/>
          <w:b/>
          <w:lang w:val="es-MX"/>
        </w:rPr>
        <w:t>(</w:t>
      </w:r>
      <w:r w:rsidR="00CE41E4" w:rsidRPr="00D2098A">
        <w:rPr>
          <w:rFonts w:asciiTheme="minorHAnsi" w:hAnsiTheme="minorHAnsi"/>
          <w:b/>
          <w:i/>
          <w:lang w:val="es-MX"/>
        </w:rPr>
        <w:t>IG</w:t>
      </w:r>
      <w:r w:rsidR="00CE41E4" w:rsidRPr="00D2098A">
        <w:rPr>
          <w:rFonts w:asciiTheme="minorHAnsi" w:hAnsiTheme="minorHAnsi"/>
          <w:b/>
          <w:i/>
          <w:vertAlign w:val="subscript"/>
          <w:lang w:val="es-MX"/>
        </w:rPr>
        <w:t>COT</w:t>
      </w:r>
      <w:r w:rsidR="00CE41E4" w:rsidRPr="00D2098A">
        <w:rPr>
          <w:rFonts w:asciiTheme="minorHAnsi" w:hAnsiTheme="minorHAnsi"/>
          <w:b/>
          <w:lang w:val="es-MX"/>
        </w:rPr>
        <w:t>)</w:t>
      </w:r>
      <w:r w:rsidR="006D2C2D" w:rsidRPr="00D2098A">
        <w:rPr>
          <w:rFonts w:asciiTheme="minorHAnsi" w:hAnsiTheme="minorHAnsi"/>
          <w:lang w:val="es-MX"/>
        </w:rPr>
        <w:t>, e</w:t>
      </w:r>
      <w:r w:rsidR="00D92ACE" w:rsidRPr="00D2098A">
        <w:rPr>
          <w:rFonts w:asciiTheme="minorHAnsi" w:hAnsiTheme="minorHAnsi"/>
          <w:lang w:val="es-MX"/>
        </w:rPr>
        <w:t xml:space="preserve">l cual pondera al </w:t>
      </w:r>
      <w:r w:rsidR="008070E5" w:rsidRPr="00D2098A">
        <w:rPr>
          <w:rFonts w:asciiTheme="minorHAnsi" w:hAnsiTheme="minorHAnsi"/>
          <w:lang w:val="es-MX"/>
        </w:rPr>
        <w:t>Í</w:t>
      </w:r>
      <w:r w:rsidR="00D92ACE" w:rsidRPr="00D2098A">
        <w:rPr>
          <w:rFonts w:asciiTheme="minorHAnsi" w:hAnsiTheme="minorHAnsi"/>
          <w:lang w:val="es-MX"/>
        </w:rPr>
        <w:t xml:space="preserve">ndice </w:t>
      </w:r>
      <w:r w:rsidR="008070E5" w:rsidRPr="00D2098A">
        <w:rPr>
          <w:rFonts w:asciiTheme="minorHAnsi" w:hAnsiTheme="minorHAnsi"/>
          <w:lang w:val="es-MX"/>
        </w:rPr>
        <w:t>C</w:t>
      </w:r>
      <w:r w:rsidR="00D92ACE" w:rsidRPr="00D2098A">
        <w:rPr>
          <w:rFonts w:asciiTheme="minorHAnsi" w:hAnsiTheme="minorHAnsi"/>
          <w:lang w:val="es-MX"/>
        </w:rPr>
        <w:t xml:space="preserve">ompuesto de </w:t>
      </w:r>
      <w:r w:rsidR="008070E5" w:rsidRPr="00D2098A">
        <w:rPr>
          <w:rFonts w:asciiTheme="minorHAnsi" w:hAnsiTheme="minorHAnsi"/>
          <w:lang w:val="es-MX"/>
        </w:rPr>
        <w:t>C</w:t>
      </w:r>
      <w:r w:rsidR="00D92ACE" w:rsidRPr="00D2098A">
        <w:rPr>
          <w:rFonts w:asciiTheme="minorHAnsi" w:hAnsiTheme="minorHAnsi"/>
          <w:lang w:val="es-MX"/>
        </w:rPr>
        <w:t xml:space="preserve">riterios </w:t>
      </w:r>
      <w:r w:rsidR="008070E5" w:rsidRPr="00D2098A">
        <w:rPr>
          <w:rFonts w:asciiTheme="minorHAnsi" w:hAnsiTheme="minorHAnsi"/>
          <w:lang w:val="es-MX"/>
        </w:rPr>
        <w:t>S</w:t>
      </w:r>
      <w:r w:rsidR="00D92ACE" w:rsidRPr="00D2098A">
        <w:rPr>
          <w:rFonts w:asciiTheme="minorHAnsi" w:hAnsiTheme="minorHAnsi"/>
          <w:lang w:val="es-MX"/>
        </w:rPr>
        <w:t>ustantivos</w:t>
      </w:r>
      <w:r w:rsidR="00056572" w:rsidRPr="00D2098A">
        <w:rPr>
          <w:rFonts w:asciiTheme="minorHAnsi" w:hAnsiTheme="minorHAnsi"/>
          <w:lang w:val="es-MX"/>
        </w:rPr>
        <w:t xml:space="preserve"> con</w:t>
      </w:r>
      <w:r w:rsidR="00D92ACE" w:rsidRPr="00D2098A">
        <w:rPr>
          <w:rFonts w:asciiTheme="minorHAnsi" w:hAnsiTheme="minorHAnsi"/>
          <w:lang w:val="es-MX"/>
        </w:rPr>
        <w:t xml:space="preserve"> 0.8, (80%)</w:t>
      </w:r>
      <w:r w:rsidR="00056572" w:rsidRPr="00D2098A">
        <w:rPr>
          <w:rFonts w:asciiTheme="minorHAnsi" w:hAnsiTheme="minorHAnsi"/>
          <w:lang w:val="es-MX"/>
        </w:rPr>
        <w:t>,</w:t>
      </w:r>
      <w:r w:rsidR="00D92ACE" w:rsidRPr="00D2098A">
        <w:rPr>
          <w:rFonts w:asciiTheme="minorHAnsi" w:hAnsiTheme="minorHAnsi"/>
          <w:lang w:val="es-MX"/>
        </w:rPr>
        <w:t xml:space="preserve"> en tanto que los criterios adjetivos son ponderados con el valor 0.2 (20%). Así este </w:t>
      </w:r>
      <w:r w:rsidR="008070E5" w:rsidRPr="00D2098A">
        <w:rPr>
          <w:rFonts w:asciiTheme="minorHAnsi" w:hAnsiTheme="minorHAnsi"/>
          <w:b/>
          <w:lang w:val="es-MX"/>
        </w:rPr>
        <w:t>(IG</w:t>
      </w:r>
      <w:r w:rsidR="008070E5" w:rsidRPr="00D2098A">
        <w:rPr>
          <w:rFonts w:asciiTheme="minorHAnsi" w:hAnsiTheme="minorHAnsi"/>
          <w:b/>
          <w:vertAlign w:val="subscript"/>
          <w:lang w:val="es-MX"/>
        </w:rPr>
        <w:t>COT</w:t>
      </w:r>
      <w:r w:rsidR="008070E5" w:rsidRPr="00D2098A">
        <w:rPr>
          <w:rFonts w:asciiTheme="minorHAnsi" w:hAnsiTheme="minorHAnsi"/>
          <w:b/>
          <w:lang w:val="es-MX"/>
        </w:rPr>
        <w:t xml:space="preserve">) </w:t>
      </w:r>
      <w:r w:rsidR="00F750BD" w:rsidRPr="00D2098A">
        <w:rPr>
          <w:rFonts w:asciiTheme="minorHAnsi" w:hAnsiTheme="minorHAnsi"/>
          <w:lang w:val="es-MX"/>
        </w:rPr>
        <w:t xml:space="preserve">refleja en un solo número la calidad del cumplimiento de las obligaciones de transparencia y acceso a la información pública que derivan </w:t>
      </w:r>
      <w:r w:rsidR="006D2C2D" w:rsidRPr="00D2098A">
        <w:rPr>
          <w:rFonts w:asciiTheme="minorHAnsi" w:hAnsiTheme="minorHAnsi"/>
          <w:lang w:val="es-MX"/>
        </w:rPr>
        <w:t xml:space="preserve">del CIPEDF </w:t>
      </w:r>
      <w:r w:rsidR="00F750BD" w:rsidRPr="00D2098A">
        <w:rPr>
          <w:rFonts w:asciiTheme="minorHAnsi" w:hAnsiTheme="minorHAnsi"/>
          <w:lang w:val="es-MX"/>
        </w:rPr>
        <w:t>y de la LTAIPDF de acuerdo a la siguiente fórmula:</w:t>
      </w:r>
    </w:p>
    <w:p w14:paraId="638868C8" w14:textId="77777777" w:rsidR="00056572" w:rsidRPr="00D2098A" w:rsidRDefault="00056572" w:rsidP="00056572">
      <w:pPr>
        <w:rPr>
          <w:rFonts w:asciiTheme="minorHAnsi" w:hAnsiTheme="minorHAnsi"/>
          <w:b/>
        </w:rPr>
      </w:pPr>
    </w:p>
    <w:p w14:paraId="0328B420" w14:textId="77777777" w:rsidR="00056572" w:rsidRPr="00D2098A" w:rsidRDefault="00056572" w:rsidP="00056572">
      <w:pPr>
        <w:ind w:left="567"/>
        <w:rPr>
          <w:rFonts w:asciiTheme="minorHAnsi" w:hAnsiTheme="minorHAnsi"/>
          <w:b/>
        </w:rPr>
      </w:pPr>
      <w:r w:rsidRPr="00D2098A">
        <w:rPr>
          <w:rFonts w:asciiTheme="minorHAnsi" w:hAnsiTheme="minorHAnsi"/>
          <w:b/>
          <w:i/>
        </w:rPr>
        <w:t>IG</w:t>
      </w:r>
      <w:r w:rsidRPr="00D2098A">
        <w:rPr>
          <w:rFonts w:asciiTheme="minorHAnsi" w:hAnsiTheme="minorHAnsi"/>
          <w:b/>
          <w:i/>
          <w:vertAlign w:val="subscript"/>
        </w:rPr>
        <w:t>COT</w:t>
      </w:r>
      <w:r w:rsidRPr="00D2098A">
        <w:rPr>
          <w:rFonts w:asciiTheme="minorHAnsi" w:hAnsiTheme="minorHAnsi"/>
          <w:b/>
          <w:vertAlign w:val="subscript"/>
        </w:rPr>
        <w:t xml:space="preserve"> </w:t>
      </w:r>
      <w:r w:rsidRPr="00D2098A">
        <w:rPr>
          <w:rFonts w:asciiTheme="minorHAnsi" w:hAnsiTheme="minorHAnsi"/>
          <w:b/>
        </w:rPr>
        <w:t xml:space="preserve">= (0.8) </w:t>
      </w:r>
      <w:r w:rsidRPr="00D2098A">
        <w:rPr>
          <w:rFonts w:asciiTheme="minorHAnsi" w:hAnsiTheme="minorHAnsi"/>
          <w:b/>
          <w:i/>
        </w:rPr>
        <w:t>IC</w:t>
      </w:r>
      <w:r w:rsidR="00C9346B" w:rsidRPr="00D2098A">
        <w:rPr>
          <w:rFonts w:asciiTheme="minorHAnsi" w:hAnsiTheme="minorHAnsi"/>
          <w:b/>
          <w:i/>
        </w:rPr>
        <w:t>S</w:t>
      </w:r>
      <w:r w:rsidR="00C9346B" w:rsidRPr="00D2098A">
        <w:rPr>
          <w:rFonts w:asciiTheme="minorHAnsi" w:hAnsiTheme="minorHAnsi"/>
          <w:b/>
          <w:i/>
          <w:vertAlign w:val="subscript"/>
        </w:rPr>
        <w:t>222</w:t>
      </w:r>
      <w:r w:rsidRPr="00D2098A">
        <w:rPr>
          <w:rFonts w:asciiTheme="minorHAnsi" w:hAnsiTheme="minorHAnsi"/>
          <w:b/>
        </w:rPr>
        <w:t xml:space="preserve"> + (0.2) </w:t>
      </w:r>
      <w:r w:rsidRPr="00D2098A">
        <w:rPr>
          <w:rFonts w:asciiTheme="minorHAnsi" w:hAnsiTheme="minorHAnsi"/>
          <w:b/>
          <w:i/>
        </w:rPr>
        <w:t>IC</w:t>
      </w:r>
      <w:r w:rsidR="00C9346B" w:rsidRPr="00D2098A">
        <w:rPr>
          <w:rFonts w:asciiTheme="minorHAnsi" w:hAnsiTheme="minorHAnsi"/>
          <w:b/>
          <w:i/>
        </w:rPr>
        <w:t>A</w:t>
      </w:r>
      <w:r w:rsidR="00C9346B" w:rsidRPr="00D2098A">
        <w:rPr>
          <w:rFonts w:asciiTheme="minorHAnsi" w:hAnsiTheme="minorHAnsi"/>
          <w:b/>
          <w:i/>
          <w:vertAlign w:val="subscript"/>
        </w:rPr>
        <w:t>222</w:t>
      </w:r>
    </w:p>
    <w:p w14:paraId="4B92DF94" w14:textId="77777777" w:rsidR="00056572" w:rsidRPr="00D2098A" w:rsidRDefault="00056572" w:rsidP="00056572">
      <w:pPr>
        <w:rPr>
          <w:rFonts w:asciiTheme="minorHAnsi" w:hAnsiTheme="minorHAnsi"/>
          <w:b/>
        </w:rPr>
      </w:pPr>
    </w:p>
    <w:p w14:paraId="5C981432" w14:textId="77777777" w:rsidR="009E4F01" w:rsidRPr="00D2098A" w:rsidRDefault="009E4F01" w:rsidP="00570F47">
      <w:pPr>
        <w:rPr>
          <w:rFonts w:asciiTheme="minorHAnsi" w:hAnsiTheme="minorHAnsi"/>
          <w:b/>
          <w:lang w:val="es-MX"/>
        </w:rPr>
      </w:pPr>
      <w:r w:rsidRPr="00D2098A">
        <w:rPr>
          <w:rFonts w:asciiTheme="minorHAnsi" w:hAnsiTheme="minorHAnsi"/>
          <w:b/>
          <w:lang w:val="es-MX"/>
        </w:rPr>
        <w:t>Donde:</w:t>
      </w:r>
    </w:p>
    <w:p w14:paraId="514BB46E" w14:textId="77777777" w:rsidR="009E4F01" w:rsidRPr="00D2098A" w:rsidRDefault="009E4F01" w:rsidP="00570F47">
      <w:pPr>
        <w:rPr>
          <w:rFonts w:asciiTheme="minorHAnsi" w:hAnsiTheme="minorHAnsi"/>
          <w:lang w:val="es-MX"/>
        </w:rPr>
      </w:pPr>
    </w:p>
    <w:p w14:paraId="6055B9E0" w14:textId="77777777" w:rsidR="009E4F01" w:rsidRPr="00D2098A" w:rsidRDefault="00A56ED4" w:rsidP="00570F47">
      <w:pPr>
        <w:rPr>
          <w:rFonts w:asciiTheme="minorHAnsi" w:hAnsiTheme="minorHAnsi"/>
          <w:lang w:val="es-MX"/>
        </w:rPr>
      </w:pPr>
      <w:r w:rsidRPr="00D2098A">
        <w:rPr>
          <w:rFonts w:asciiTheme="minorHAnsi" w:hAnsiTheme="minorHAnsi"/>
          <w:b/>
          <w:i/>
        </w:rPr>
        <w:t>IG</w:t>
      </w:r>
      <w:r w:rsidRPr="00D2098A">
        <w:rPr>
          <w:rFonts w:asciiTheme="minorHAnsi" w:hAnsiTheme="minorHAnsi"/>
          <w:b/>
          <w:i/>
          <w:vertAlign w:val="subscript"/>
        </w:rPr>
        <w:t>COT</w:t>
      </w:r>
      <w:r w:rsidR="00D51D56" w:rsidRPr="00D2098A">
        <w:rPr>
          <w:rFonts w:asciiTheme="minorHAnsi" w:hAnsiTheme="minorHAnsi"/>
          <w:lang w:val="es-MX"/>
        </w:rPr>
        <w:t xml:space="preserve"> = Índice Global del Cumplimiento de las Obligaciones de Transparencia.</w:t>
      </w:r>
    </w:p>
    <w:p w14:paraId="53C89F04" w14:textId="77777777" w:rsidR="00D51D56" w:rsidRPr="00D2098A" w:rsidRDefault="00A56ED4" w:rsidP="00570F47">
      <w:pPr>
        <w:rPr>
          <w:rFonts w:asciiTheme="minorHAnsi" w:hAnsiTheme="minorHAnsi"/>
          <w:lang w:val="es-MX"/>
        </w:rPr>
      </w:pPr>
      <w:r w:rsidRPr="00D2098A">
        <w:rPr>
          <w:rFonts w:asciiTheme="minorHAnsi" w:hAnsiTheme="minorHAnsi"/>
          <w:b/>
          <w:i/>
        </w:rPr>
        <w:t>ICS</w:t>
      </w:r>
      <w:r w:rsidRPr="00D2098A">
        <w:rPr>
          <w:rFonts w:asciiTheme="minorHAnsi" w:hAnsiTheme="minorHAnsi"/>
          <w:b/>
          <w:i/>
          <w:vertAlign w:val="subscript"/>
        </w:rPr>
        <w:t>222</w:t>
      </w:r>
      <w:r w:rsidR="00D51D56" w:rsidRPr="00D2098A">
        <w:rPr>
          <w:rFonts w:asciiTheme="minorHAnsi" w:hAnsiTheme="minorHAnsi"/>
          <w:lang w:val="es-MX"/>
        </w:rPr>
        <w:t xml:space="preserve"> = Índice Compuesto de </w:t>
      </w:r>
      <w:r w:rsidRPr="00D2098A">
        <w:rPr>
          <w:rFonts w:asciiTheme="minorHAnsi" w:hAnsiTheme="minorHAnsi"/>
          <w:lang w:val="es-MX"/>
        </w:rPr>
        <w:t>C</w:t>
      </w:r>
      <w:r w:rsidR="00D51D56" w:rsidRPr="00D2098A">
        <w:rPr>
          <w:rFonts w:asciiTheme="minorHAnsi" w:hAnsiTheme="minorHAnsi"/>
          <w:lang w:val="es-MX"/>
        </w:rPr>
        <w:t xml:space="preserve">riterios </w:t>
      </w:r>
      <w:r w:rsidRPr="00D2098A">
        <w:rPr>
          <w:rFonts w:asciiTheme="minorHAnsi" w:hAnsiTheme="minorHAnsi"/>
          <w:lang w:val="es-MX"/>
        </w:rPr>
        <w:t>S</w:t>
      </w:r>
      <w:r w:rsidR="00D51D56" w:rsidRPr="00D2098A">
        <w:rPr>
          <w:rFonts w:asciiTheme="minorHAnsi" w:hAnsiTheme="minorHAnsi"/>
          <w:lang w:val="es-MX"/>
        </w:rPr>
        <w:t>ustantivos.</w:t>
      </w:r>
    </w:p>
    <w:p w14:paraId="528931B9" w14:textId="77777777" w:rsidR="00D51D56" w:rsidRPr="00D2098A" w:rsidRDefault="00A56ED4" w:rsidP="00570F47">
      <w:pPr>
        <w:rPr>
          <w:rFonts w:asciiTheme="minorHAnsi" w:hAnsiTheme="minorHAnsi"/>
          <w:lang w:val="es-MX"/>
        </w:rPr>
      </w:pPr>
      <w:r w:rsidRPr="00D2098A">
        <w:rPr>
          <w:rFonts w:asciiTheme="minorHAnsi" w:hAnsiTheme="minorHAnsi"/>
          <w:b/>
          <w:i/>
        </w:rPr>
        <w:t>ICA</w:t>
      </w:r>
      <w:r w:rsidRPr="00D2098A">
        <w:rPr>
          <w:rFonts w:asciiTheme="minorHAnsi" w:hAnsiTheme="minorHAnsi"/>
          <w:b/>
          <w:i/>
          <w:vertAlign w:val="subscript"/>
        </w:rPr>
        <w:t xml:space="preserve">222 </w:t>
      </w:r>
      <w:r w:rsidRPr="00D2098A">
        <w:rPr>
          <w:rFonts w:asciiTheme="minorHAnsi" w:hAnsiTheme="minorHAnsi"/>
          <w:lang w:val="es-MX"/>
        </w:rPr>
        <w:t>= Índice Compuesto de C</w:t>
      </w:r>
      <w:r w:rsidR="00D51D56" w:rsidRPr="00D2098A">
        <w:rPr>
          <w:rFonts w:asciiTheme="minorHAnsi" w:hAnsiTheme="minorHAnsi"/>
          <w:lang w:val="es-MX"/>
        </w:rPr>
        <w:t xml:space="preserve">riterios </w:t>
      </w:r>
      <w:r w:rsidRPr="00D2098A">
        <w:rPr>
          <w:rFonts w:asciiTheme="minorHAnsi" w:hAnsiTheme="minorHAnsi"/>
          <w:lang w:val="es-MX"/>
        </w:rPr>
        <w:t>A</w:t>
      </w:r>
      <w:r w:rsidR="00D51D56" w:rsidRPr="00D2098A">
        <w:rPr>
          <w:rFonts w:asciiTheme="minorHAnsi" w:hAnsiTheme="minorHAnsi"/>
          <w:lang w:val="es-MX"/>
        </w:rPr>
        <w:t>djetivos.</w:t>
      </w:r>
    </w:p>
    <w:p w14:paraId="744554CE" w14:textId="77777777" w:rsidR="00D51D56" w:rsidRPr="00D2098A" w:rsidRDefault="00D51D56" w:rsidP="00570F47">
      <w:pPr>
        <w:rPr>
          <w:rFonts w:asciiTheme="minorHAnsi" w:hAnsiTheme="minorHAnsi"/>
          <w:lang w:val="es-MX"/>
        </w:rPr>
      </w:pPr>
    </w:p>
    <w:p w14:paraId="22D3516F" w14:textId="77777777" w:rsidR="00570F47" w:rsidRPr="00D2098A" w:rsidRDefault="00570F47" w:rsidP="00570F47">
      <w:pPr>
        <w:rPr>
          <w:rFonts w:asciiTheme="minorHAnsi" w:hAnsiTheme="minorHAnsi"/>
        </w:rPr>
      </w:pPr>
      <w:r w:rsidRPr="00D2098A">
        <w:rPr>
          <w:rFonts w:asciiTheme="minorHAnsi" w:hAnsiTheme="minorHAnsi"/>
        </w:rPr>
        <w:t>En el cálculo del Índice de Criterios Sustantivos de la fracción XXII del Artículo 222</w:t>
      </w:r>
      <w:r w:rsidR="006D2C2D" w:rsidRPr="00D2098A">
        <w:rPr>
          <w:rFonts w:asciiTheme="minorHAnsi" w:hAnsiTheme="minorHAnsi"/>
        </w:rPr>
        <w:t xml:space="preserve"> del </w:t>
      </w:r>
      <w:r w:rsidR="006D2C2D" w:rsidRPr="00D2098A">
        <w:rPr>
          <w:rFonts w:asciiTheme="minorHAnsi" w:hAnsiTheme="minorHAnsi"/>
          <w:lang w:val="es-MX"/>
        </w:rPr>
        <w:t>CIPEDF</w:t>
      </w:r>
      <w:r w:rsidRPr="00D2098A">
        <w:rPr>
          <w:rFonts w:asciiTheme="minorHAnsi" w:hAnsiTheme="minorHAnsi"/>
        </w:rPr>
        <w:t>, lo mismo que en el de Criterios Adjetivos, todos los criterios tendrán el mismo peso relativo, es decir, si son “</w:t>
      </w:r>
      <w:r w:rsidRPr="00D2098A">
        <w:rPr>
          <w:rFonts w:asciiTheme="minorHAnsi" w:hAnsiTheme="minorHAnsi"/>
          <w:i/>
        </w:rPr>
        <w:t>n</w:t>
      </w:r>
      <w:r w:rsidRPr="00D2098A">
        <w:rPr>
          <w:rFonts w:asciiTheme="minorHAnsi" w:hAnsiTheme="minorHAnsi"/>
        </w:rPr>
        <w:t xml:space="preserve">” criterios, cada uno de ellos valdrá </w:t>
      </w:r>
      <w:r w:rsidRPr="00D2098A">
        <w:rPr>
          <w:rFonts w:asciiTheme="minorHAnsi" w:hAnsiTheme="minorHAnsi"/>
          <w:i/>
        </w:rPr>
        <w:t>1/n</w:t>
      </w:r>
      <w:r w:rsidRPr="00D2098A">
        <w:rPr>
          <w:rFonts w:asciiTheme="minorHAnsi" w:hAnsiTheme="minorHAnsi"/>
        </w:rPr>
        <w:t>, dentro del cálculo de su respectivo Índice.</w:t>
      </w:r>
    </w:p>
    <w:p w14:paraId="1FE7C6B3" w14:textId="77777777" w:rsidR="00570F47" w:rsidRPr="00D2098A" w:rsidRDefault="00570F47" w:rsidP="00570F47">
      <w:pPr>
        <w:rPr>
          <w:rFonts w:asciiTheme="minorHAnsi" w:hAnsiTheme="minorHAnsi"/>
        </w:rPr>
      </w:pPr>
    </w:p>
    <w:p w14:paraId="19BE7D6C" w14:textId="77777777" w:rsidR="00570F47" w:rsidRPr="00D2098A" w:rsidRDefault="00570F47" w:rsidP="00570F47">
      <w:pPr>
        <w:rPr>
          <w:rFonts w:asciiTheme="minorHAnsi" w:hAnsiTheme="minorHAnsi"/>
        </w:rPr>
      </w:pPr>
      <w:r w:rsidRPr="00D2098A">
        <w:rPr>
          <w:rFonts w:asciiTheme="minorHAnsi" w:hAnsiTheme="minorHAnsi"/>
        </w:rPr>
        <w:t xml:space="preserve">Finalmente, con el propósito de contar con un índice general que en un solo número nos refleje el desempeño de los Partidos Políticos en este ámbito, se calculará un </w:t>
      </w:r>
      <w:r w:rsidRPr="00D2098A">
        <w:rPr>
          <w:rFonts w:asciiTheme="minorHAnsi" w:hAnsiTheme="minorHAnsi"/>
          <w:b/>
          <w:i/>
        </w:rPr>
        <w:t>Índice Global</w:t>
      </w:r>
      <w:r w:rsidRPr="00D2098A">
        <w:rPr>
          <w:rFonts w:asciiTheme="minorHAnsi" w:hAnsiTheme="minorHAnsi"/>
        </w:rPr>
        <w:t xml:space="preserve"> </w:t>
      </w:r>
      <w:r w:rsidRPr="00D2098A">
        <w:rPr>
          <w:rFonts w:asciiTheme="minorHAnsi" w:hAnsiTheme="minorHAnsi"/>
          <w:b/>
          <w:i/>
        </w:rPr>
        <w:t>del cumplimiento de las Obligaciones de Transparencia</w:t>
      </w:r>
      <w:r w:rsidR="006D2C2D" w:rsidRPr="00D2098A">
        <w:rPr>
          <w:rFonts w:asciiTheme="minorHAnsi" w:hAnsiTheme="minorHAnsi"/>
          <w:b/>
          <w:i/>
        </w:rPr>
        <w:t xml:space="preserve"> </w:t>
      </w:r>
      <w:r w:rsidR="006D2C2D" w:rsidRPr="00D2098A">
        <w:rPr>
          <w:rFonts w:asciiTheme="minorHAnsi" w:hAnsiTheme="minorHAnsi"/>
          <w:b/>
          <w:lang w:val="es-MX"/>
        </w:rPr>
        <w:t>(</w:t>
      </w:r>
      <w:r w:rsidR="006D2C2D" w:rsidRPr="00D2098A">
        <w:rPr>
          <w:rFonts w:asciiTheme="minorHAnsi" w:hAnsiTheme="minorHAnsi"/>
          <w:b/>
          <w:i/>
          <w:lang w:val="es-MX"/>
        </w:rPr>
        <w:t>IG</w:t>
      </w:r>
      <w:r w:rsidR="006D2C2D" w:rsidRPr="00D2098A">
        <w:rPr>
          <w:rFonts w:asciiTheme="minorHAnsi" w:hAnsiTheme="minorHAnsi"/>
          <w:b/>
          <w:i/>
          <w:vertAlign w:val="subscript"/>
          <w:lang w:val="es-MX"/>
        </w:rPr>
        <w:t>COT</w:t>
      </w:r>
      <w:r w:rsidR="006D2C2D" w:rsidRPr="00D2098A">
        <w:rPr>
          <w:rFonts w:asciiTheme="minorHAnsi" w:hAnsiTheme="minorHAnsi"/>
          <w:b/>
          <w:lang w:val="es-MX"/>
        </w:rPr>
        <w:t>)</w:t>
      </w:r>
      <w:r w:rsidR="006D2C2D" w:rsidRPr="00D2098A">
        <w:rPr>
          <w:rFonts w:asciiTheme="minorHAnsi" w:hAnsiTheme="minorHAnsi"/>
          <w:lang w:val="es-MX"/>
        </w:rPr>
        <w:t xml:space="preserve">, </w:t>
      </w:r>
      <w:r w:rsidRPr="00D2098A">
        <w:rPr>
          <w:rFonts w:asciiTheme="minorHAnsi" w:hAnsiTheme="minorHAnsi"/>
        </w:rPr>
        <w:t xml:space="preserve">el cual será obtenido a partir de los índices de </w:t>
      </w:r>
      <w:r w:rsidR="006D2C2D" w:rsidRPr="00D2098A">
        <w:rPr>
          <w:rFonts w:asciiTheme="minorHAnsi" w:hAnsiTheme="minorHAnsi"/>
        </w:rPr>
        <w:t>C</w:t>
      </w:r>
      <w:r w:rsidRPr="00D2098A">
        <w:rPr>
          <w:rFonts w:asciiTheme="minorHAnsi" w:hAnsiTheme="minorHAnsi"/>
        </w:rPr>
        <w:t xml:space="preserve">riterios Sustantivos y Adjetivos de la fracción XXII del Artículo 222 del CIPEDF. Para ello, se ponderará al índice de criterios sustantivos con 0.8 (80%), en tanto que los criterios adjetivos serán ponderados con el valor de 0.2 (20%). Así, se estima que el </w:t>
      </w:r>
      <w:r w:rsidR="006D2C2D" w:rsidRPr="00D2098A">
        <w:rPr>
          <w:rFonts w:asciiTheme="minorHAnsi" w:hAnsiTheme="minorHAnsi"/>
          <w:b/>
          <w:i/>
          <w:lang w:val="es-MX"/>
        </w:rPr>
        <w:t>IG</w:t>
      </w:r>
      <w:r w:rsidR="006D2C2D" w:rsidRPr="00D2098A">
        <w:rPr>
          <w:rFonts w:asciiTheme="minorHAnsi" w:hAnsiTheme="minorHAnsi"/>
          <w:b/>
          <w:i/>
          <w:vertAlign w:val="subscript"/>
          <w:lang w:val="es-MX"/>
        </w:rPr>
        <w:t>COT</w:t>
      </w:r>
      <w:r w:rsidR="006D2C2D" w:rsidRPr="00D2098A">
        <w:rPr>
          <w:rFonts w:asciiTheme="minorHAnsi" w:hAnsiTheme="minorHAnsi"/>
          <w:lang w:val="es-MX"/>
        </w:rPr>
        <w:t xml:space="preserve">, </w:t>
      </w:r>
      <w:r w:rsidRPr="00D2098A">
        <w:rPr>
          <w:rFonts w:asciiTheme="minorHAnsi" w:hAnsiTheme="minorHAnsi"/>
        </w:rPr>
        <w:t xml:space="preserve">reflejará en un solo número la importancia y calidad del cumplimiento de las obligaciones de transparencia y acceso a la información pública que derivan </w:t>
      </w:r>
      <w:r w:rsidRPr="00D2098A">
        <w:rPr>
          <w:rFonts w:asciiTheme="minorHAnsi" w:hAnsiTheme="minorHAnsi"/>
          <w:bCs/>
          <w:lang w:val="es-MX"/>
        </w:rPr>
        <w:t xml:space="preserve">Código de Instituciones y Procedimientos Electorales del Distrito Federal </w:t>
      </w:r>
      <w:r w:rsidRPr="00D2098A">
        <w:rPr>
          <w:rFonts w:asciiTheme="minorHAnsi" w:hAnsiTheme="minorHAnsi"/>
        </w:rPr>
        <w:t>y de la LTAIPDF.</w:t>
      </w:r>
    </w:p>
    <w:p w14:paraId="3BDE5B25" w14:textId="77777777" w:rsidR="003E075A" w:rsidRPr="00D2098A" w:rsidRDefault="003E075A" w:rsidP="003E075A">
      <w:pPr>
        <w:rPr>
          <w:rFonts w:asciiTheme="minorHAnsi" w:hAnsiTheme="minorHAnsi"/>
        </w:rPr>
      </w:pPr>
    </w:p>
    <w:p w14:paraId="5C5B7C26" w14:textId="77777777" w:rsidR="00D51D56" w:rsidRPr="00D2098A" w:rsidRDefault="001948F0" w:rsidP="00C63F61">
      <w:pPr>
        <w:autoSpaceDE w:val="0"/>
        <w:autoSpaceDN w:val="0"/>
        <w:adjustRightInd w:val="0"/>
        <w:rPr>
          <w:rFonts w:asciiTheme="minorHAnsi" w:hAnsiTheme="minorHAnsi"/>
        </w:rPr>
      </w:pPr>
      <w:r w:rsidRPr="00D2098A">
        <w:rPr>
          <w:rFonts w:asciiTheme="minorHAnsi" w:hAnsiTheme="minorHAnsi"/>
        </w:rPr>
        <w:t>Para mayor referencia de las metodologías y claridad</w:t>
      </w:r>
      <w:r w:rsidR="009F173C" w:rsidRPr="00D2098A">
        <w:rPr>
          <w:rFonts w:asciiTheme="minorHAnsi" w:hAnsiTheme="minorHAnsi"/>
        </w:rPr>
        <w:t xml:space="preserve"> en los procedimientos de evaluación</w:t>
      </w:r>
      <w:r w:rsidRPr="00D2098A">
        <w:rPr>
          <w:rFonts w:asciiTheme="minorHAnsi" w:hAnsiTheme="minorHAnsi"/>
        </w:rPr>
        <w:t xml:space="preserve"> </w:t>
      </w:r>
      <w:r w:rsidR="009F173C" w:rsidRPr="00D2098A">
        <w:rPr>
          <w:rFonts w:asciiTheme="minorHAnsi" w:hAnsiTheme="minorHAnsi"/>
        </w:rPr>
        <w:t xml:space="preserve">para este </w:t>
      </w:r>
      <w:r w:rsidR="006D2C2D" w:rsidRPr="00D2098A">
        <w:rPr>
          <w:rFonts w:asciiTheme="minorHAnsi" w:hAnsiTheme="minorHAnsi"/>
        </w:rPr>
        <w:t>c</w:t>
      </w:r>
      <w:r w:rsidR="009F173C" w:rsidRPr="00D2098A">
        <w:rPr>
          <w:rFonts w:asciiTheme="minorHAnsi" w:hAnsiTheme="minorHAnsi"/>
        </w:rPr>
        <w:t>ertamen, se sug</w:t>
      </w:r>
      <w:r w:rsidRPr="00D2098A">
        <w:rPr>
          <w:rFonts w:asciiTheme="minorHAnsi" w:hAnsiTheme="minorHAnsi"/>
        </w:rPr>
        <w:t xml:space="preserve">iere consultar los </w:t>
      </w:r>
      <w:r w:rsidR="006D2C2D" w:rsidRPr="00D2098A">
        <w:rPr>
          <w:rFonts w:asciiTheme="minorHAnsi" w:hAnsiTheme="minorHAnsi" w:cs="Arial"/>
          <w:b/>
          <w:lang w:val="es-MX"/>
        </w:rPr>
        <w:t>“Criterios y metodología de evaluación de la información pública de oficio que deben dar a conocer los Entes Obligados en sus portales de Internet”</w:t>
      </w:r>
      <w:r w:rsidR="006D2C2D" w:rsidRPr="00D2098A">
        <w:rPr>
          <w:rFonts w:asciiTheme="minorHAnsi" w:hAnsiTheme="minorHAnsi" w:cs="Arial"/>
          <w:lang w:val="es-MX"/>
        </w:rPr>
        <w:t xml:space="preserve">, </w:t>
      </w:r>
      <w:r w:rsidR="007D29DB" w:rsidRPr="00D2098A">
        <w:rPr>
          <w:rFonts w:asciiTheme="minorHAnsi" w:hAnsiTheme="minorHAnsi"/>
        </w:rPr>
        <w:t xml:space="preserve">y para los Partidos Políticos pueden hacerlo en los </w:t>
      </w:r>
      <w:r w:rsidR="006D2C2D" w:rsidRPr="00D2098A">
        <w:rPr>
          <w:rFonts w:asciiTheme="minorHAnsi" w:hAnsiTheme="minorHAnsi" w:cs="Arial"/>
          <w:b/>
          <w:lang w:val="es-MX"/>
        </w:rPr>
        <w:t>“Criterios y metodología de evaluación de la información pública de oficio que deben dar a conocer en sus portales de la Internet los Partidos Políticos en DF”</w:t>
      </w:r>
      <w:r w:rsidR="00CB060C" w:rsidRPr="00D2098A">
        <w:rPr>
          <w:rFonts w:asciiTheme="minorHAnsi" w:hAnsiTheme="minorHAnsi" w:cs="Arial"/>
          <w:b/>
          <w:lang w:val="es-MX"/>
        </w:rPr>
        <w:t>.</w:t>
      </w:r>
    </w:p>
    <w:p w14:paraId="3CB69240" w14:textId="77777777" w:rsidR="00E77C6A" w:rsidRPr="00D2098A" w:rsidRDefault="00E77C6A" w:rsidP="003E075A">
      <w:pPr>
        <w:rPr>
          <w:rFonts w:asciiTheme="minorHAnsi" w:hAnsiTheme="minorHAnsi"/>
          <w:lang w:val="es-MX"/>
        </w:rPr>
      </w:pPr>
    </w:p>
    <w:p w14:paraId="43156FED" w14:textId="77777777" w:rsidR="009775AC" w:rsidRPr="00D2098A" w:rsidRDefault="009775AC" w:rsidP="003E075A">
      <w:pPr>
        <w:rPr>
          <w:rFonts w:asciiTheme="minorHAnsi" w:hAnsiTheme="minorHAnsi"/>
          <w:lang w:val="es-MX"/>
        </w:rPr>
      </w:pPr>
    </w:p>
    <w:p w14:paraId="2873A64C" w14:textId="77777777" w:rsidR="00A87FE4" w:rsidRPr="00D2098A" w:rsidRDefault="00E77C6A" w:rsidP="00A87FE4">
      <w:pPr>
        <w:rPr>
          <w:rFonts w:asciiTheme="minorHAnsi" w:hAnsiTheme="minorHAnsi"/>
          <w:b/>
          <w:i/>
        </w:rPr>
      </w:pPr>
      <w:r w:rsidRPr="00D2098A">
        <w:rPr>
          <w:rFonts w:asciiTheme="minorHAnsi" w:hAnsiTheme="minorHAnsi"/>
          <w:b/>
          <w:i/>
        </w:rPr>
        <w:t>IV.</w:t>
      </w:r>
      <w:r w:rsidR="0091785E" w:rsidRPr="00D2098A">
        <w:rPr>
          <w:rFonts w:asciiTheme="minorHAnsi" w:hAnsiTheme="minorHAnsi"/>
          <w:b/>
          <w:i/>
        </w:rPr>
        <w:t>2</w:t>
      </w:r>
      <w:r w:rsidR="00A87FE4" w:rsidRPr="00D2098A">
        <w:rPr>
          <w:rFonts w:asciiTheme="minorHAnsi" w:hAnsiTheme="minorHAnsi"/>
          <w:b/>
          <w:i/>
        </w:rPr>
        <w:t>. Índice de Acceso a la Información</w:t>
      </w:r>
    </w:p>
    <w:p w14:paraId="77BF8B38" w14:textId="77777777" w:rsidR="00A87FE4" w:rsidRPr="00D2098A" w:rsidRDefault="00A87FE4" w:rsidP="00A87FE4">
      <w:pPr>
        <w:rPr>
          <w:rFonts w:asciiTheme="minorHAnsi" w:hAnsiTheme="minorHAnsi"/>
        </w:rPr>
      </w:pPr>
    </w:p>
    <w:p w14:paraId="0A4CECD7" w14:textId="4ED0D744" w:rsidR="00A87FE4" w:rsidRPr="00D2098A" w:rsidRDefault="00351DE0" w:rsidP="00A87FE4">
      <w:pPr>
        <w:rPr>
          <w:rFonts w:asciiTheme="minorHAnsi" w:hAnsiTheme="minorHAnsi"/>
          <w:lang w:val="es-MX"/>
        </w:rPr>
      </w:pPr>
      <w:r w:rsidRPr="00D2098A">
        <w:rPr>
          <w:rFonts w:asciiTheme="minorHAnsi" w:hAnsiTheme="minorHAnsi"/>
          <w:lang w:val="es-MX"/>
        </w:rPr>
        <w:t>Al</w:t>
      </w:r>
      <w:r w:rsidR="00FE4415" w:rsidRPr="00D2098A">
        <w:rPr>
          <w:rFonts w:asciiTheme="minorHAnsi" w:hAnsiTheme="minorHAnsi"/>
          <w:lang w:val="es-MX"/>
        </w:rPr>
        <w:t xml:space="preserve"> igual que en </w:t>
      </w:r>
      <w:r w:rsidR="00EC189A" w:rsidRPr="00D2098A">
        <w:rPr>
          <w:rFonts w:asciiTheme="minorHAnsi" w:hAnsiTheme="minorHAnsi"/>
          <w:lang w:val="es-MX"/>
        </w:rPr>
        <w:t xml:space="preserve">la metodología </w:t>
      </w:r>
      <w:r w:rsidR="00FE4415" w:rsidRPr="00D2098A">
        <w:rPr>
          <w:rFonts w:asciiTheme="minorHAnsi" w:hAnsiTheme="minorHAnsi"/>
          <w:lang w:val="es-MX"/>
        </w:rPr>
        <w:t>2007</w:t>
      </w:r>
      <w:r w:rsidR="002653AE" w:rsidRPr="00D2098A">
        <w:rPr>
          <w:rFonts w:asciiTheme="minorHAnsi" w:hAnsiTheme="minorHAnsi"/>
          <w:lang w:val="es-MX"/>
        </w:rPr>
        <w:t>,</w:t>
      </w:r>
      <w:r w:rsidRPr="00D2098A">
        <w:rPr>
          <w:rFonts w:asciiTheme="minorHAnsi" w:hAnsiTheme="minorHAnsi"/>
          <w:lang w:val="es-MX"/>
        </w:rPr>
        <w:t xml:space="preserve"> 2008</w:t>
      </w:r>
      <w:r w:rsidR="001612AF" w:rsidRPr="00D2098A">
        <w:rPr>
          <w:rFonts w:asciiTheme="minorHAnsi" w:hAnsiTheme="minorHAnsi"/>
          <w:lang w:val="es-MX"/>
        </w:rPr>
        <w:t>,</w:t>
      </w:r>
      <w:r w:rsidR="002653AE" w:rsidRPr="00D2098A">
        <w:rPr>
          <w:rFonts w:asciiTheme="minorHAnsi" w:hAnsiTheme="minorHAnsi"/>
          <w:lang w:val="es-MX"/>
        </w:rPr>
        <w:t xml:space="preserve"> 2009</w:t>
      </w:r>
      <w:r w:rsidR="00743100" w:rsidRPr="00D2098A">
        <w:rPr>
          <w:rFonts w:asciiTheme="minorHAnsi" w:hAnsiTheme="minorHAnsi"/>
          <w:lang w:val="es-MX"/>
        </w:rPr>
        <w:t>,</w:t>
      </w:r>
      <w:r w:rsidR="001612AF" w:rsidRPr="00D2098A">
        <w:rPr>
          <w:rFonts w:asciiTheme="minorHAnsi" w:hAnsiTheme="minorHAnsi"/>
          <w:lang w:val="es-MX"/>
        </w:rPr>
        <w:t xml:space="preserve"> 2010</w:t>
      </w:r>
      <w:r w:rsidR="006D2C2D" w:rsidRPr="00D2098A">
        <w:rPr>
          <w:rFonts w:asciiTheme="minorHAnsi" w:hAnsiTheme="minorHAnsi"/>
          <w:lang w:val="es-MX"/>
        </w:rPr>
        <w:t>,</w:t>
      </w:r>
      <w:r w:rsidR="00743100" w:rsidRPr="00D2098A">
        <w:rPr>
          <w:rFonts w:asciiTheme="minorHAnsi" w:hAnsiTheme="minorHAnsi"/>
          <w:lang w:val="es-MX"/>
        </w:rPr>
        <w:t xml:space="preserve"> 2011</w:t>
      </w:r>
      <w:r w:rsidR="005436BC" w:rsidRPr="00D2098A">
        <w:rPr>
          <w:rFonts w:asciiTheme="minorHAnsi" w:hAnsiTheme="minorHAnsi"/>
          <w:lang w:val="es-MX"/>
        </w:rPr>
        <w:t>,</w:t>
      </w:r>
      <w:r w:rsidR="006D2C2D" w:rsidRPr="00D2098A">
        <w:rPr>
          <w:rFonts w:asciiTheme="minorHAnsi" w:hAnsiTheme="minorHAnsi"/>
          <w:lang w:val="es-MX"/>
        </w:rPr>
        <w:t xml:space="preserve"> 2012</w:t>
      </w:r>
      <w:r w:rsidR="005436BC" w:rsidRPr="00D2098A">
        <w:rPr>
          <w:rFonts w:asciiTheme="minorHAnsi" w:hAnsiTheme="minorHAnsi"/>
          <w:lang w:val="es-MX"/>
        </w:rPr>
        <w:t xml:space="preserve"> y 2013</w:t>
      </w:r>
      <w:r w:rsidR="00FE4415" w:rsidRPr="00D2098A">
        <w:rPr>
          <w:rFonts w:asciiTheme="minorHAnsi" w:hAnsiTheme="minorHAnsi"/>
          <w:lang w:val="es-MX"/>
        </w:rPr>
        <w:t>, p</w:t>
      </w:r>
      <w:r w:rsidR="00A87FE4" w:rsidRPr="00D2098A">
        <w:rPr>
          <w:rFonts w:asciiTheme="minorHAnsi" w:hAnsiTheme="minorHAnsi"/>
          <w:lang w:val="es-MX"/>
        </w:rPr>
        <w:t xml:space="preserve">ara el cálculo del </w:t>
      </w:r>
      <w:r w:rsidR="00A87FE4" w:rsidRPr="00D2098A">
        <w:rPr>
          <w:rFonts w:asciiTheme="minorHAnsi" w:hAnsiTheme="minorHAnsi"/>
          <w:b/>
          <w:i/>
          <w:lang w:val="es-MX"/>
        </w:rPr>
        <w:t>Índice de Acceso a la Información</w:t>
      </w:r>
      <w:r w:rsidR="00A87FE4" w:rsidRPr="00D2098A">
        <w:rPr>
          <w:rFonts w:asciiTheme="minorHAnsi" w:hAnsiTheme="minorHAnsi"/>
          <w:lang w:val="es-MX"/>
        </w:rPr>
        <w:t xml:space="preserve"> de cada </w:t>
      </w:r>
      <w:r w:rsidR="00915FAF" w:rsidRPr="00D2098A">
        <w:rPr>
          <w:rFonts w:asciiTheme="minorHAnsi" w:hAnsiTheme="minorHAnsi"/>
          <w:lang w:val="es-MX"/>
        </w:rPr>
        <w:t xml:space="preserve">Ente </w:t>
      </w:r>
      <w:r w:rsidR="00AE367D" w:rsidRPr="00D2098A">
        <w:rPr>
          <w:rFonts w:asciiTheme="minorHAnsi" w:hAnsiTheme="minorHAnsi"/>
          <w:lang w:val="es-MX"/>
        </w:rPr>
        <w:t>Obligado</w:t>
      </w:r>
      <w:r w:rsidR="006D2C2D" w:rsidRPr="00D2098A">
        <w:rPr>
          <w:rFonts w:asciiTheme="minorHAnsi" w:hAnsiTheme="minorHAnsi"/>
          <w:lang w:val="es-MX"/>
        </w:rPr>
        <w:t xml:space="preserve"> </w:t>
      </w:r>
      <w:r w:rsidR="006D2C2D" w:rsidRPr="00D2098A">
        <w:rPr>
          <w:rFonts w:asciiTheme="minorHAnsi" w:hAnsiTheme="minorHAnsi"/>
          <w:b/>
          <w:lang w:val="es-MX"/>
        </w:rPr>
        <w:t>(</w:t>
      </w:r>
      <w:r w:rsidR="006D2C2D" w:rsidRPr="00D2098A">
        <w:rPr>
          <w:rFonts w:asciiTheme="minorHAnsi" w:hAnsiTheme="minorHAnsi"/>
          <w:b/>
          <w:i/>
          <w:lang w:val="es-MX"/>
        </w:rPr>
        <w:t>IAI</w:t>
      </w:r>
      <w:r w:rsidR="006D2C2D" w:rsidRPr="00D2098A">
        <w:rPr>
          <w:rFonts w:asciiTheme="minorHAnsi" w:hAnsiTheme="minorHAnsi"/>
          <w:b/>
          <w:i/>
          <w:vertAlign w:val="subscript"/>
          <w:lang w:val="es-MX"/>
        </w:rPr>
        <w:t>EO</w:t>
      </w:r>
      <w:r w:rsidR="006D2C2D" w:rsidRPr="00D2098A">
        <w:rPr>
          <w:rFonts w:asciiTheme="minorHAnsi" w:hAnsiTheme="minorHAnsi"/>
          <w:b/>
          <w:lang w:val="es-MX"/>
        </w:rPr>
        <w:t>)</w:t>
      </w:r>
      <w:r w:rsidR="00A87FE4" w:rsidRPr="00D2098A">
        <w:rPr>
          <w:rFonts w:asciiTheme="minorHAnsi" w:hAnsiTheme="minorHAnsi"/>
          <w:lang w:val="es-MX"/>
        </w:rPr>
        <w:t xml:space="preserve">, </w:t>
      </w:r>
      <w:r w:rsidR="002C749A" w:rsidRPr="00D2098A">
        <w:rPr>
          <w:rFonts w:asciiTheme="minorHAnsi" w:hAnsiTheme="minorHAnsi"/>
          <w:lang w:val="es-MX"/>
        </w:rPr>
        <w:t>que representa el 30</w:t>
      </w:r>
      <w:r w:rsidR="00012492" w:rsidRPr="00D2098A">
        <w:rPr>
          <w:rFonts w:asciiTheme="minorHAnsi" w:hAnsiTheme="minorHAnsi"/>
          <w:lang w:val="es-MX"/>
        </w:rPr>
        <w:t xml:space="preserve">% del Índice </w:t>
      </w:r>
      <w:r w:rsidR="007D44FE" w:rsidRPr="00D2098A">
        <w:rPr>
          <w:rFonts w:asciiTheme="minorHAnsi" w:hAnsiTheme="minorHAnsi"/>
          <w:lang w:val="es-MX"/>
        </w:rPr>
        <w:t>Compuesto</w:t>
      </w:r>
      <w:r w:rsidR="00012492" w:rsidRPr="00D2098A">
        <w:rPr>
          <w:rFonts w:asciiTheme="minorHAnsi" w:hAnsiTheme="minorHAnsi"/>
          <w:lang w:val="es-MX"/>
        </w:rPr>
        <w:t xml:space="preserve"> de Mejores Prácticas de Transparencia, </w:t>
      </w:r>
      <w:r w:rsidR="00A87FE4" w:rsidRPr="00D2098A">
        <w:rPr>
          <w:rFonts w:asciiTheme="minorHAnsi" w:hAnsiTheme="minorHAnsi"/>
          <w:lang w:val="es-MX"/>
        </w:rPr>
        <w:t>se consider</w:t>
      </w:r>
      <w:r w:rsidR="00990CC2" w:rsidRPr="00D2098A">
        <w:rPr>
          <w:rFonts w:asciiTheme="minorHAnsi" w:hAnsiTheme="minorHAnsi"/>
          <w:lang w:val="es-MX"/>
        </w:rPr>
        <w:t xml:space="preserve">ará </w:t>
      </w:r>
      <w:r w:rsidR="00A87FE4" w:rsidRPr="00D2098A">
        <w:rPr>
          <w:rFonts w:asciiTheme="minorHAnsi" w:hAnsiTheme="minorHAnsi"/>
          <w:lang w:val="es-MX"/>
        </w:rPr>
        <w:t xml:space="preserve">el total de Recursos de Revisión </w:t>
      </w:r>
      <w:r w:rsidR="00990CC2" w:rsidRPr="00D2098A">
        <w:rPr>
          <w:rFonts w:asciiTheme="minorHAnsi" w:hAnsiTheme="minorHAnsi"/>
          <w:lang w:val="es-MX"/>
        </w:rPr>
        <w:t xml:space="preserve">que </w:t>
      </w:r>
      <w:r w:rsidR="00A87FE4" w:rsidRPr="00D2098A">
        <w:rPr>
          <w:rFonts w:asciiTheme="minorHAnsi" w:hAnsiTheme="minorHAnsi"/>
          <w:lang w:val="es-MX"/>
        </w:rPr>
        <w:t>resuel</w:t>
      </w:r>
      <w:r w:rsidR="00990CC2" w:rsidRPr="00D2098A">
        <w:rPr>
          <w:rFonts w:asciiTheme="minorHAnsi" w:hAnsiTheme="minorHAnsi"/>
          <w:lang w:val="es-MX"/>
        </w:rPr>
        <w:t xml:space="preserve">va </w:t>
      </w:r>
      <w:r w:rsidR="00A87FE4" w:rsidRPr="00D2098A">
        <w:rPr>
          <w:rFonts w:asciiTheme="minorHAnsi" w:hAnsiTheme="minorHAnsi"/>
          <w:lang w:val="es-MX"/>
        </w:rPr>
        <w:t>el Pleno del InfoDF</w:t>
      </w:r>
      <w:r w:rsidR="00EC189A" w:rsidRPr="00D2098A">
        <w:rPr>
          <w:rStyle w:val="Refdenotaalpie"/>
          <w:rFonts w:asciiTheme="minorHAnsi" w:hAnsiTheme="minorHAnsi"/>
          <w:lang w:val="es-MX"/>
        </w:rPr>
        <w:footnoteReference w:id="1"/>
      </w:r>
      <w:r w:rsidR="00990CC2" w:rsidRPr="00D2098A">
        <w:rPr>
          <w:rFonts w:asciiTheme="minorHAnsi" w:hAnsiTheme="minorHAnsi"/>
          <w:lang w:val="es-MX"/>
        </w:rPr>
        <w:t xml:space="preserve"> durante el 20</w:t>
      </w:r>
      <w:r w:rsidR="002653AE" w:rsidRPr="00D2098A">
        <w:rPr>
          <w:rFonts w:asciiTheme="minorHAnsi" w:hAnsiTheme="minorHAnsi"/>
          <w:lang w:val="es-MX"/>
        </w:rPr>
        <w:t>1</w:t>
      </w:r>
      <w:r w:rsidR="004B233F" w:rsidRPr="00D2098A">
        <w:rPr>
          <w:rFonts w:asciiTheme="minorHAnsi" w:hAnsiTheme="minorHAnsi"/>
          <w:lang w:val="es-MX"/>
        </w:rPr>
        <w:t>4</w:t>
      </w:r>
      <w:r w:rsidR="0034629C" w:rsidRPr="00D2098A">
        <w:rPr>
          <w:rFonts w:asciiTheme="minorHAnsi" w:hAnsiTheme="minorHAnsi"/>
          <w:lang w:val="es-MX"/>
        </w:rPr>
        <w:t>,</w:t>
      </w:r>
      <w:r w:rsidR="00990CC2" w:rsidRPr="00D2098A">
        <w:rPr>
          <w:rFonts w:asciiTheme="minorHAnsi" w:hAnsiTheme="minorHAnsi"/>
          <w:lang w:val="es-MX"/>
        </w:rPr>
        <w:t xml:space="preserve"> a los que se les restará</w:t>
      </w:r>
      <w:r w:rsidR="00A87FE4" w:rsidRPr="00D2098A">
        <w:rPr>
          <w:rFonts w:asciiTheme="minorHAnsi" w:hAnsiTheme="minorHAnsi"/>
          <w:lang w:val="es-MX"/>
        </w:rPr>
        <w:t>n aquellos ca</w:t>
      </w:r>
      <w:r w:rsidR="00990CC2" w:rsidRPr="00D2098A">
        <w:rPr>
          <w:rFonts w:asciiTheme="minorHAnsi" w:hAnsiTheme="minorHAnsi"/>
          <w:lang w:val="es-MX"/>
        </w:rPr>
        <w:t>sos en los que el Pleno confirme</w:t>
      </w:r>
      <w:r w:rsidR="00A87FE4" w:rsidRPr="00D2098A">
        <w:rPr>
          <w:rFonts w:asciiTheme="minorHAnsi" w:hAnsiTheme="minorHAnsi"/>
          <w:lang w:val="es-MX"/>
        </w:rPr>
        <w:t xml:space="preserve"> la respuesta del </w:t>
      </w:r>
      <w:r w:rsidR="00F76859" w:rsidRPr="00D2098A">
        <w:rPr>
          <w:rFonts w:asciiTheme="minorHAnsi" w:hAnsiTheme="minorHAnsi"/>
          <w:lang w:val="es-MX"/>
        </w:rPr>
        <w:t>Ente</w:t>
      </w:r>
      <w:r w:rsidR="00885CED" w:rsidRPr="00D2098A">
        <w:rPr>
          <w:rFonts w:asciiTheme="minorHAnsi" w:hAnsiTheme="minorHAnsi"/>
          <w:lang w:val="es-MX"/>
        </w:rPr>
        <w:t xml:space="preserve">, así como </w:t>
      </w:r>
      <w:r w:rsidR="003D510F" w:rsidRPr="00D2098A">
        <w:rPr>
          <w:rFonts w:asciiTheme="minorHAnsi" w:hAnsiTheme="minorHAnsi"/>
          <w:lang w:val="es-MX"/>
        </w:rPr>
        <w:t xml:space="preserve">los Recursos de Revisión que fueron sobreseídos </w:t>
      </w:r>
      <w:r w:rsidR="00480640">
        <w:rPr>
          <w:rFonts w:asciiTheme="minorHAnsi" w:hAnsiTheme="minorHAnsi"/>
          <w:lang w:val="es-MX"/>
        </w:rPr>
        <w:t xml:space="preserve">para los siguientes casos: 1) </w:t>
      </w:r>
      <w:r w:rsidR="003D510F" w:rsidRPr="00D2098A">
        <w:rPr>
          <w:rFonts w:asciiTheme="minorHAnsi" w:hAnsiTheme="minorHAnsi"/>
          <w:lang w:val="es-MX"/>
        </w:rPr>
        <w:t>por entrega de información adicional en el inter del proceso, cuya característica sea que el Pleno del InfoDF considera que la primera respuesta proporcionada por el Ente Obligado fue correcta</w:t>
      </w:r>
      <w:r w:rsidR="00480640">
        <w:rPr>
          <w:rFonts w:asciiTheme="minorHAnsi" w:hAnsiTheme="minorHAnsi"/>
          <w:lang w:val="es-MX"/>
        </w:rPr>
        <w:t>; 2) por no tratarse de una solicitud de información pública</w:t>
      </w:r>
      <w:r w:rsidR="00440F13">
        <w:rPr>
          <w:rFonts w:asciiTheme="minorHAnsi" w:hAnsiTheme="minorHAnsi"/>
          <w:lang w:val="es-MX"/>
        </w:rPr>
        <w:t xml:space="preserve"> y 3) </w:t>
      </w:r>
      <w:r w:rsidR="00440F13">
        <w:rPr>
          <w:rFonts w:asciiTheme="minorHAnsi" w:hAnsiTheme="minorHAnsi"/>
        </w:rPr>
        <w:t>por ser improcedentes</w:t>
      </w:r>
      <w:r w:rsidR="00A87FE4" w:rsidRPr="00D2098A">
        <w:rPr>
          <w:rFonts w:asciiTheme="minorHAnsi" w:hAnsiTheme="minorHAnsi"/>
          <w:lang w:val="es-MX"/>
        </w:rPr>
        <w:t>. El re</w:t>
      </w:r>
      <w:r w:rsidR="004B233F" w:rsidRPr="00D2098A">
        <w:rPr>
          <w:rFonts w:asciiTheme="minorHAnsi" w:hAnsiTheme="minorHAnsi"/>
          <w:lang w:val="es-MX"/>
        </w:rPr>
        <w:t xml:space="preserve">sultado de lo anterior se </w:t>
      </w:r>
      <w:r w:rsidR="00424514" w:rsidRPr="00D2098A">
        <w:rPr>
          <w:rFonts w:asciiTheme="minorHAnsi" w:hAnsiTheme="minorHAnsi"/>
          <w:lang w:val="es-MX"/>
        </w:rPr>
        <w:t>dividi</w:t>
      </w:r>
      <w:r w:rsidR="00990CC2" w:rsidRPr="00D2098A">
        <w:rPr>
          <w:rFonts w:asciiTheme="minorHAnsi" w:hAnsiTheme="minorHAnsi"/>
          <w:lang w:val="es-MX"/>
        </w:rPr>
        <w:t>rá</w:t>
      </w:r>
      <w:r w:rsidR="00424514" w:rsidRPr="00D2098A">
        <w:rPr>
          <w:rFonts w:asciiTheme="minorHAnsi" w:hAnsiTheme="minorHAnsi"/>
          <w:lang w:val="es-MX"/>
        </w:rPr>
        <w:t xml:space="preserve"> </w:t>
      </w:r>
      <w:r w:rsidR="00A87FE4" w:rsidRPr="00D2098A">
        <w:rPr>
          <w:rFonts w:asciiTheme="minorHAnsi" w:hAnsiTheme="minorHAnsi"/>
          <w:lang w:val="es-MX"/>
        </w:rPr>
        <w:t xml:space="preserve">entre el total de solicitudes de información </w:t>
      </w:r>
      <w:r w:rsidR="006D2C2D" w:rsidRPr="00D2098A">
        <w:rPr>
          <w:rFonts w:asciiTheme="minorHAnsi" w:hAnsiTheme="minorHAnsi"/>
          <w:lang w:val="es-MX"/>
        </w:rPr>
        <w:t xml:space="preserve">pública </w:t>
      </w:r>
      <w:r w:rsidR="00FE4415" w:rsidRPr="00D2098A">
        <w:rPr>
          <w:rFonts w:asciiTheme="minorHAnsi" w:hAnsiTheme="minorHAnsi"/>
          <w:lang w:val="es-MX"/>
        </w:rPr>
        <w:t xml:space="preserve">que </w:t>
      </w:r>
      <w:r w:rsidR="00990CC2" w:rsidRPr="00D2098A">
        <w:rPr>
          <w:rFonts w:asciiTheme="minorHAnsi" w:hAnsiTheme="minorHAnsi"/>
          <w:lang w:val="es-MX"/>
        </w:rPr>
        <w:t xml:space="preserve">haya </w:t>
      </w:r>
      <w:r w:rsidR="00FE4415" w:rsidRPr="00D2098A">
        <w:rPr>
          <w:rFonts w:asciiTheme="minorHAnsi" w:hAnsiTheme="minorHAnsi"/>
          <w:lang w:val="es-MX"/>
        </w:rPr>
        <w:t>recibi</w:t>
      </w:r>
      <w:r w:rsidR="00990CC2" w:rsidRPr="00D2098A">
        <w:rPr>
          <w:rFonts w:asciiTheme="minorHAnsi" w:hAnsiTheme="minorHAnsi"/>
          <w:lang w:val="es-MX"/>
        </w:rPr>
        <w:t>do</w:t>
      </w:r>
      <w:r w:rsidR="00FE4415" w:rsidRPr="00D2098A">
        <w:rPr>
          <w:rFonts w:asciiTheme="minorHAnsi" w:hAnsiTheme="minorHAnsi"/>
          <w:lang w:val="es-MX"/>
        </w:rPr>
        <w:t xml:space="preserve"> </w:t>
      </w:r>
      <w:r w:rsidR="00A87FE4" w:rsidRPr="00D2098A">
        <w:rPr>
          <w:rFonts w:asciiTheme="minorHAnsi" w:hAnsiTheme="minorHAnsi"/>
          <w:lang w:val="es-MX"/>
        </w:rPr>
        <w:t xml:space="preserve">dicho </w:t>
      </w:r>
      <w:r w:rsidR="00F76859" w:rsidRPr="00D2098A">
        <w:rPr>
          <w:rFonts w:asciiTheme="minorHAnsi" w:hAnsiTheme="minorHAnsi"/>
          <w:lang w:val="es-MX"/>
        </w:rPr>
        <w:t>Ente</w:t>
      </w:r>
      <w:r w:rsidR="00990CC2" w:rsidRPr="00D2098A">
        <w:rPr>
          <w:rFonts w:asciiTheme="minorHAnsi" w:hAnsiTheme="minorHAnsi"/>
          <w:lang w:val="es-MX"/>
        </w:rPr>
        <w:t xml:space="preserve"> durante el ejercicio 20</w:t>
      </w:r>
      <w:r w:rsidR="002653AE" w:rsidRPr="00D2098A">
        <w:rPr>
          <w:rFonts w:asciiTheme="minorHAnsi" w:hAnsiTheme="minorHAnsi"/>
          <w:lang w:val="es-MX"/>
        </w:rPr>
        <w:t>1</w:t>
      </w:r>
      <w:r w:rsidR="005436BC" w:rsidRPr="00D2098A">
        <w:rPr>
          <w:rFonts w:asciiTheme="minorHAnsi" w:hAnsiTheme="minorHAnsi"/>
          <w:lang w:val="es-MX"/>
        </w:rPr>
        <w:t>4</w:t>
      </w:r>
      <w:r w:rsidR="00990CC2" w:rsidRPr="00D2098A">
        <w:rPr>
          <w:rFonts w:asciiTheme="minorHAnsi" w:hAnsiTheme="minorHAnsi"/>
          <w:lang w:val="es-MX"/>
        </w:rPr>
        <w:t>, de acuerdo a la siguiente fórmula:</w:t>
      </w:r>
      <w:r w:rsidR="00A87FE4" w:rsidRPr="00D2098A">
        <w:rPr>
          <w:rFonts w:asciiTheme="minorHAnsi" w:hAnsiTheme="minorHAnsi"/>
          <w:lang w:val="es-MX"/>
        </w:rPr>
        <w:t xml:space="preserve"> </w:t>
      </w:r>
    </w:p>
    <w:p w14:paraId="4426B392" w14:textId="77777777" w:rsidR="006F1E4C" w:rsidRPr="00D2098A" w:rsidRDefault="006F1E4C" w:rsidP="00A87FE4">
      <w:pPr>
        <w:rPr>
          <w:rFonts w:asciiTheme="minorHAnsi" w:hAnsiTheme="minorHAnsi"/>
          <w:highlight w:val="yellow"/>
          <w:lang w:val="es-MX"/>
        </w:rPr>
      </w:pPr>
    </w:p>
    <w:p w14:paraId="1BC3BC1C" w14:textId="77777777" w:rsidR="0012655D" w:rsidRPr="00D2098A" w:rsidRDefault="0012655D" w:rsidP="00A61E5F">
      <w:pPr>
        <w:ind w:firstLine="708"/>
        <w:jc w:val="left"/>
        <w:rPr>
          <w:rFonts w:asciiTheme="minorHAnsi" w:hAnsiTheme="minorHAnsi"/>
          <w:b/>
          <w:lang w:val="es-MX"/>
        </w:rPr>
      </w:pPr>
    </w:p>
    <w:p w14:paraId="3F14505E" w14:textId="19813806" w:rsidR="00F22781" w:rsidRPr="00D2098A" w:rsidRDefault="00F22781" w:rsidP="00F22781">
      <w:pPr>
        <w:ind w:firstLine="708"/>
        <w:jc w:val="left"/>
        <w:rPr>
          <w:rFonts w:asciiTheme="minorHAnsi" w:hAnsiTheme="minorHAnsi"/>
          <w:b/>
          <w:lang w:val="es-MX"/>
        </w:rPr>
      </w:pPr>
      <w:r w:rsidRPr="00D2098A">
        <w:rPr>
          <w:rFonts w:asciiTheme="minorHAnsi" w:hAnsiTheme="minorHAnsi"/>
          <w:b/>
          <w:i/>
          <w:lang w:val="es-MX"/>
        </w:rPr>
        <w:t>IAI</w:t>
      </w:r>
      <w:r w:rsidRPr="00D2098A">
        <w:rPr>
          <w:rFonts w:asciiTheme="minorHAnsi" w:hAnsiTheme="minorHAnsi"/>
          <w:b/>
          <w:i/>
          <w:vertAlign w:val="subscript"/>
          <w:lang w:val="es-MX"/>
        </w:rPr>
        <w:t>EO</w:t>
      </w:r>
      <w:r w:rsidRPr="00D2098A">
        <w:rPr>
          <w:rFonts w:asciiTheme="minorHAnsi" w:hAnsiTheme="minorHAnsi"/>
        </w:rPr>
        <w:t xml:space="preserve"> </w:t>
      </w:r>
      <w:r w:rsidRPr="00D2098A">
        <w:rPr>
          <w:rFonts w:asciiTheme="minorHAnsi" w:hAnsiTheme="minorHAnsi"/>
          <w:b/>
          <w:lang w:val="es-MX"/>
        </w:rPr>
        <w:t xml:space="preserve">= </w:t>
      </w:r>
      <m:oMath>
        <m:d>
          <m:dPr>
            <m:begChr m:val="["/>
            <m:endChr m:val="]"/>
            <m:ctrlPr>
              <w:rPr>
                <w:rFonts w:ascii="Cambria Math" w:hAnsi="Cambria Math"/>
                <w:b/>
                <w:i/>
                <w:lang w:val="en-US"/>
              </w:rPr>
            </m:ctrlPr>
          </m:dPr>
          <m:e>
            <m:r>
              <m:rPr>
                <m:sty m:val="bi"/>
              </m:rPr>
              <w:rPr>
                <w:rFonts w:ascii="Cambria Math" w:hAnsi="Cambria Math"/>
                <w:lang w:val="es-MX"/>
              </w:rPr>
              <m:t xml:space="preserve"> </m:t>
            </m:r>
            <m:r>
              <m:rPr>
                <m:sty m:val="bi"/>
              </m:rPr>
              <w:rPr>
                <w:rFonts w:ascii="Cambria Math" w:hAnsi="Cambria Math"/>
                <w:lang w:val="en-US"/>
              </w:rPr>
              <m:t>1</m:t>
            </m:r>
            <m:r>
              <m:rPr>
                <m:sty m:val="bi"/>
              </m:rPr>
              <w:rPr>
                <w:rFonts w:ascii="Cambria Math" w:hAnsi="Cambria Math"/>
                <w:lang w:val="es-MX"/>
              </w:rPr>
              <m:t xml:space="preserve"> - </m:t>
            </m:r>
            <m:d>
              <m:dPr>
                <m:ctrlPr>
                  <w:rPr>
                    <w:rFonts w:ascii="Cambria Math" w:hAnsi="Cambria Math"/>
                    <w:b/>
                    <w:i/>
                    <w:lang w:val="en-US"/>
                  </w:rPr>
                </m:ctrlPr>
              </m:dPr>
              <m:e>
                <m:r>
                  <m:rPr>
                    <m:sty m:val="bi"/>
                  </m:rPr>
                  <w:rPr>
                    <w:rFonts w:ascii="Cambria Math" w:hAnsi="Cambria Math"/>
                    <w:lang w:val="es-MX"/>
                  </w:rPr>
                  <m:t xml:space="preserve"> </m:t>
                </m:r>
                <m:f>
                  <m:fPr>
                    <m:ctrlPr>
                      <w:rPr>
                        <w:rFonts w:ascii="Cambria Math" w:hAnsi="Cambria Math"/>
                        <w:b/>
                        <w:lang w:val="es-MX"/>
                      </w:rPr>
                    </m:ctrlPr>
                  </m:fPr>
                  <m:num>
                    <m:r>
                      <m:rPr>
                        <m:sty m:val="bi"/>
                      </m:rPr>
                      <w:rPr>
                        <w:rFonts w:ascii="Cambria Math" w:hAnsi="Cambria Math"/>
                        <w:lang w:val="es-MX"/>
                      </w:rPr>
                      <m:t xml:space="preserve">RRrp - { RRcr + RRcs + RRnsip+RRsi} </m:t>
                    </m:r>
                  </m:num>
                  <m:den>
                    <m:r>
                      <m:rPr>
                        <m:sty m:val="bi"/>
                      </m:rPr>
                      <w:rPr>
                        <w:rFonts w:ascii="Cambria Math" w:hAnsi="Cambria Math"/>
                        <w:lang w:val="en-US"/>
                      </w:rPr>
                      <m:t>SIreo</m:t>
                    </m:r>
                  </m:den>
                </m:f>
              </m:e>
            </m:d>
            <m:r>
              <m:rPr>
                <m:sty m:val="bi"/>
              </m:rPr>
              <w:rPr>
                <w:rFonts w:ascii="Cambria Math" w:hAnsi="Cambria Math"/>
                <w:lang w:val="es-MX"/>
              </w:rPr>
              <m:t xml:space="preserve"> </m:t>
            </m:r>
          </m:e>
        </m:d>
        <m:r>
          <m:rPr>
            <m:sty m:val="bi"/>
          </m:rPr>
          <w:rPr>
            <w:rFonts w:ascii="Cambria Math" w:hAnsi="Cambria Math"/>
            <w:lang w:val="es-MX"/>
          </w:rPr>
          <m:t xml:space="preserve"> * </m:t>
        </m:r>
        <m:r>
          <m:rPr>
            <m:sty m:val="bi"/>
          </m:rPr>
          <w:rPr>
            <w:rFonts w:ascii="Cambria Math" w:hAnsi="Cambria Math"/>
            <w:lang w:val="en-US"/>
          </w:rPr>
          <m:t>100</m:t>
        </m:r>
      </m:oMath>
    </w:p>
    <w:p w14:paraId="095C09F5" w14:textId="77777777" w:rsidR="00A61E5F" w:rsidRPr="00D2098A" w:rsidRDefault="00A61E5F" w:rsidP="00A61E5F">
      <w:pPr>
        <w:rPr>
          <w:rFonts w:asciiTheme="minorHAnsi" w:hAnsiTheme="minorHAnsi"/>
          <w:lang w:val="es-MX"/>
        </w:rPr>
      </w:pPr>
    </w:p>
    <w:p w14:paraId="2AF6AD62" w14:textId="77777777" w:rsidR="00EA2524" w:rsidRPr="00D2098A" w:rsidRDefault="00EA2524" w:rsidP="00A61E5F">
      <w:pPr>
        <w:rPr>
          <w:rFonts w:asciiTheme="minorHAnsi" w:hAnsiTheme="minorHAnsi"/>
          <w:lang w:val="es-MX"/>
        </w:rPr>
      </w:pPr>
    </w:p>
    <w:p w14:paraId="546656FA" w14:textId="77777777" w:rsidR="00A87FE4" w:rsidRPr="00D2098A" w:rsidRDefault="00BE6D7C" w:rsidP="00A87FE4">
      <w:pPr>
        <w:rPr>
          <w:rFonts w:asciiTheme="minorHAnsi" w:hAnsiTheme="minorHAnsi"/>
          <w:b/>
        </w:rPr>
      </w:pPr>
      <w:r w:rsidRPr="00D2098A">
        <w:rPr>
          <w:rFonts w:asciiTheme="minorHAnsi" w:hAnsiTheme="minorHAnsi"/>
          <w:b/>
          <w:i/>
        </w:rPr>
        <w:t>D</w:t>
      </w:r>
      <w:r w:rsidR="00A87FE4" w:rsidRPr="00D2098A">
        <w:rPr>
          <w:rFonts w:asciiTheme="minorHAnsi" w:hAnsiTheme="minorHAnsi"/>
          <w:b/>
          <w:i/>
        </w:rPr>
        <w:t>onde</w:t>
      </w:r>
      <w:r w:rsidR="00A87FE4" w:rsidRPr="00D2098A">
        <w:rPr>
          <w:rFonts w:asciiTheme="minorHAnsi" w:hAnsiTheme="minorHAnsi"/>
          <w:b/>
        </w:rPr>
        <w:t>:</w:t>
      </w:r>
    </w:p>
    <w:p w14:paraId="75238E82" w14:textId="77777777" w:rsidR="00A87FE4" w:rsidRPr="00D2098A" w:rsidRDefault="00A87FE4" w:rsidP="00A87FE4">
      <w:pPr>
        <w:rPr>
          <w:rFonts w:asciiTheme="minorHAnsi" w:hAnsiTheme="minorHAnsi"/>
        </w:rPr>
      </w:pPr>
    </w:p>
    <w:p w14:paraId="701EFB53" w14:textId="77777777" w:rsidR="00A87FE4" w:rsidRPr="00D2098A" w:rsidRDefault="00C02DC9" w:rsidP="00E77C6A">
      <w:pPr>
        <w:spacing w:after="120"/>
        <w:rPr>
          <w:rFonts w:asciiTheme="minorHAnsi" w:hAnsiTheme="minorHAnsi"/>
        </w:rPr>
      </w:pPr>
      <w:r w:rsidRPr="00D2098A">
        <w:rPr>
          <w:rFonts w:asciiTheme="minorHAnsi" w:hAnsiTheme="minorHAnsi"/>
          <w:b/>
          <w:i/>
          <w:lang w:val="es-MX"/>
        </w:rPr>
        <w:t>IAI</w:t>
      </w:r>
      <w:r w:rsidRPr="00D2098A">
        <w:rPr>
          <w:rFonts w:asciiTheme="minorHAnsi" w:hAnsiTheme="minorHAnsi"/>
          <w:b/>
          <w:i/>
          <w:vertAlign w:val="subscript"/>
          <w:lang w:val="es-MX"/>
        </w:rPr>
        <w:t>EO</w:t>
      </w:r>
      <w:r w:rsidR="00A87FE4" w:rsidRPr="00D2098A">
        <w:rPr>
          <w:rFonts w:asciiTheme="minorHAnsi" w:hAnsiTheme="minorHAnsi"/>
        </w:rPr>
        <w:t xml:space="preserve"> = Índice de Acceso </w:t>
      </w:r>
      <w:r w:rsidR="00A12AB2" w:rsidRPr="00D2098A">
        <w:rPr>
          <w:rFonts w:asciiTheme="minorHAnsi" w:hAnsiTheme="minorHAnsi"/>
        </w:rPr>
        <w:t xml:space="preserve">a la Información </w:t>
      </w:r>
      <w:r w:rsidR="00A87FE4" w:rsidRPr="00D2098A">
        <w:rPr>
          <w:rFonts w:asciiTheme="minorHAnsi" w:hAnsiTheme="minorHAnsi"/>
        </w:rPr>
        <w:t xml:space="preserve">del </w:t>
      </w:r>
      <w:r w:rsidR="00424514" w:rsidRPr="00D2098A">
        <w:rPr>
          <w:rFonts w:asciiTheme="minorHAnsi" w:hAnsiTheme="minorHAnsi"/>
        </w:rPr>
        <w:t xml:space="preserve">Ente </w:t>
      </w:r>
      <w:r w:rsidR="00AE367D" w:rsidRPr="00D2098A">
        <w:rPr>
          <w:rFonts w:asciiTheme="minorHAnsi" w:hAnsiTheme="minorHAnsi"/>
        </w:rPr>
        <w:t>Obligado</w:t>
      </w:r>
      <w:r w:rsidR="00A87FE4" w:rsidRPr="00D2098A">
        <w:rPr>
          <w:rFonts w:asciiTheme="minorHAnsi" w:hAnsiTheme="minorHAnsi"/>
        </w:rPr>
        <w:t>.</w:t>
      </w:r>
    </w:p>
    <w:p w14:paraId="6F9C80C8" w14:textId="77777777" w:rsidR="00A87FE4" w:rsidRPr="00D2098A" w:rsidRDefault="00A12AB2" w:rsidP="00E77C6A">
      <w:pPr>
        <w:spacing w:after="120"/>
        <w:rPr>
          <w:rFonts w:asciiTheme="minorHAnsi" w:hAnsiTheme="minorHAnsi"/>
        </w:rPr>
      </w:pPr>
      <w:r w:rsidRPr="00D2098A">
        <w:rPr>
          <w:rFonts w:asciiTheme="minorHAnsi" w:hAnsiTheme="minorHAnsi"/>
          <w:b/>
          <w:i/>
        </w:rPr>
        <w:t>RRr</w:t>
      </w:r>
      <w:r w:rsidR="00A87FE4" w:rsidRPr="00D2098A">
        <w:rPr>
          <w:rFonts w:asciiTheme="minorHAnsi" w:hAnsiTheme="minorHAnsi"/>
          <w:b/>
          <w:i/>
        </w:rPr>
        <w:t>p</w:t>
      </w:r>
      <w:r w:rsidR="00A87FE4" w:rsidRPr="00D2098A">
        <w:rPr>
          <w:rFonts w:asciiTheme="minorHAnsi" w:hAnsiTheme="minorHAnsi"/>
        </w:rPr>
        <w:t xml:space="preserve"> = Recursos de Revisión resueltos por el Pleno.</w:t>
      </w:r>
    </w:p>
    <w:p w14:paraId="62056C92" w14:textId="77777777" w:rsidR="00A87FE4" w:rsidRPr="00D2098A" w:rsidRDefault="00A87FE4" w:rsidP="00E77C6A">
      <w:pPr>
        <w:spacing w:after="120"/>
        <w:rPr>
          <w:rFonts w:asciiTheme="minorHAnsi" w:hAnsiTheme="minorHAnsi"/>
        </w:rPr>
      </w:pPr>
      <w:r w:rsidRPr="00D2098A">
        <w:rPr>
          <w:rFonts w:asciiTheme="minorHAnsi" w:hAnsiTheme="minorHAnsi"/>
          <w:b/>
          <w:i/>
        </w:rPr>
        <w:t>RRcr</w:t>
      </w:r>
      <w:r w:rsidRPr="00D2098A">
        <w:rPr>
          <w:rFonts w:asciiTheme="minorHAnsi" w:hAnsiTheme="minorHAnsi"/>
        </w:rPr>
        <w:t xml:space="preserve"> = Recursos de Revisión en los que el Pleno confirma la respuesta del </w:t>
      </w:r>
      <w:r w:rsidR="00424514" w:rsidRPr="00D2098A">
        <w:rPr>
          <w:rFonts w:asciiTheme="minorHAnsi" w:hAnsiTheme="minorHAnsi"/>
        </w:rPr>
        <w:t xml:space="preserve">Ente </w:t>
      </w:r>
      <w:r w:rsidR="00AE367D" w:rsidRPr="00D2098A">
        <w:rPr>
          <w:rFonts w:asciiTheme="minorHAnsi" w:hAnsiTheme="minorHAnsi"/>
        </w:rPr>
        <w:t>Obligado.</w:t>
      </w:r>
    </w:p>
    <w:p w14:paraId="0522F6E2" w14:textId="77777777" w:rsidR="00E42FA2" w:rsidRDefault="00E42FA2" w:rsidP="00480640">
      <w:pPr>
        <w:spacing w:after="120"/>
        <w:ind w:left="709" w:hanging="709"/>
        <w:rPr>
          <w:rFonts w:asciiTheme="minorHAnsi" w:hAnsiTheme="minorHAnsi"/>
        </w:rPr>
      </w:pPr>
      <w:r w:rsidRPr="00D2098A">
        <w:rPr>
          <w:rFonts w:asciiTheme="minorHAnsi" w:hAnsiTheme="minorHAnsi"/>
          <w:b/>
          <w:i/>
        </w:rPr>
        <w:t>RR</w:t>
      </w:r>
      <w:r w:rsidR="00885CED" w:rsidRPr="00D2098A">
        <w:rPr>
          <w:rFonts w:asciiTheme="minorHAnsi" w:hAnsiTheme="minorHAnsi"/>
          <w:b/>
          <w:i/>
        </w:rPr>
        <w:t>cs</w:t>
      </w:r>
      <w:r w:rsidRPr="00D2098A">
        <w:rPr>
          <w:rFonts w:asciiTheme="minorHAnsi" w:hAnsiTheme="minorHAnsi"/>
        </w:rPr>
        <w:t xml:space="preserve"> = Recursos de Revisión sobreseídos por entrega de información</w:t>
      </w:r>
      <w:r w:rsidR="00885CED" w:rsidRPr="00D2098A">
        <w:rPr>
          <w:rFonts w:asciiTheme="minorHAnsi" w:hAnsiTheme="minorHAnsi"/>
        </w:rPr>
        <w:t xml:space="preserve"> adicional en el inter del Recurso</w:t>
      </w:r>
      <w:r w:rsidRPr="00D2098A">
        <w:rPr>
          <w:rFonts w:asciiTheme="minorHAnsi" w:hAnsiTheme="minorHAnsi"/>
        </w:rPr>
        <w:t xml:space="preserve">, </w:t>
      </w:r>
      <w:r w:rsidR="00077DF1" w:rsidRPr="00D2098A">
        <w:rPr>
          <w:rFonts w:asciiTheme="minorHAnsi" w:hAnsiTheme="minorHAnsi"/>
        </w:rPr>
        <w:t xml:space="preserve">en los cuales </w:t>
      </w:r>
      <w:r w:rsidRPr="00D2098A">
        <w:rPr>
          <w:rFonts w:asciiTheme="minorHAnsi" w:hAnsiTheme="minorHAnsi"/>
        </w:rPr>
        <w:t xml:space="preserve">el Pleno del InfoDF </w:t>
      </w:r>
      <w:r w:rsidR="00885CED" w:rsidRPr="00D2098A">
        <w:rPr>
          <w:rFonts w:asciiTheme="minorHAnsi" w:hAnsiTheme="minorHAnsi"/>
        </w:rPr>
        <w:t>considera</w:t>
      </w:r>
      <w:r w:rsidRPr="00D2098A">
        <w:rPr>
          <w:rFonts w:asciiTheme="minorHAnsi" w:hAnsiTheme="minorHAnsi"/>
        </w:rPr>
        <w:t xml:space="preserve"> que la primera respuesta proporcionada por el Ente Obligado </w:t>
      </w:r>
      <w:r w:rsidR="00885CED" w:rsidRPr="00D2098A">
        <w:rPr>
          <w:rFonts w:asciiTheme="minorHAnsi" w:hAnsiTheme="minorHAnsi"/>
        </w:rPr>
        <w:t>fue correcta</w:t>
      </w:r>
      <w:r w:rsidRPr="00D2098A">
        <w:rPr>
          <w:rFonts w:asciiTheme="minorHAnsi" w:hAnsiTheme="minorHAnsi"/>
        </w:rPr>
        <w:t>.</w:t>
      </w:r>
    </w:p>
    <w:p w14:paraId="776270CB" w14:textId="4FFCD709" w:rsidR="00480640" w:rsidRPr="00D2098A" w:rsidRDefault="00480640" w:rsidP="00480640">
      <w:pPr>
        <w:spacing w:after="120"/>
        <w:ind w:left="709" w:hanging="709"/>
        <w:rPr>
          <w:rFonts w:asciiTheme="minorHAnsi" w:hAnsiTheme="minorHAnsi"/>
        </w:rPr>
      </w:pPr>
      <w:r w:rsidRPr="00D2098A">
        <w:rPr>
          <w:rFonts w:asciiTheme="minorHAnsi" w:hAnsiTheme="minorHAnsi"/>
          <w:b/>
          <w:i/>
        </w:rPr>
        <w:t>RR</w:t>
      </w:r>
      <w:r>
        <w:rPr>
          <w:rFonts w:asciiTheme="minorHAnsi" w:hAnsiTheme="minorHAnsi"/>
          <w:b/>
          <w:i/>
        </w:rPr>
        <w:t>n</w:t>
      </w:r>
      <w:r w:rsidRPr="00D2098A">
        <w:rPr>
          <w:rFonts w:asciiTheme="minorHAnsi" w:hAnsiTheme="minorHAnsi"/>
          <w:b/>
          <w:i/>
        </w:rPr>
        <w:t>s</w:t>
      </w:r>
      <w:r>
        <w:rPr>
          <w:rFonts w:asciiTheme="minorHAnsi" w:hAnsiTheme="minorHAnsi"/>
          <w:b/>
          <w:i/>
        </w:rPr>
        <w:t>ip</w:t>
      </w:r>
      <w:r w:rsidRPr="00D2098A">
        <w:rPr>
          <w:rFonts w:asciiTheme="minorHAnsi" w:hAnsiTheme="minorHAnsi"/>
        </w:rPr>
        <w:t xml:space="preserve"> = Recursos de Revisión sobreseídos por </w:t>
      </w:r>
      <w:r>
        <w:rPr>
          <w:rFonts w:asciiTheme="minorHAnsi" w:hAnsiTheme="minorHAnsi"/>
        </w:rPr>
        <w:t xml:space="preserve">el Pleno, </w:t>
      </w:r>
      <w:r w:rsidR="00480CC2">
        <w:rPr>
          <w:rFonts w:asciiTheme="minorHAnsi" w:hAnsiTheme="minorHAnsi"/>
        </w:rPr>
        <w:t xml:space="preserve">al </w:t>
      </w:r>
      <w:r>
        <w:rPr>
          <w:rFonts w:asciiTheme="minorHAnsi" w:hAnsiTheme="minorHAnsi"/>
        </w:rPr>
        <w:t>tratarse de casos que no constituyen una solicitud de información pública</w:t>
      </w:r>
      <w:r w:rsidRPr="00D2098A">
        <w:rPr>
          <w:rFonts w:asciiTheme="minorHAnsi" w:hAnsiTheme="minorHAnsi"/>
        </w:rPr>
        <w:t>.</w:t>
      </w:r>
    </w:p>
    <w:p w14:paraId="29946844" w14:textId="55223A1D" w:rsidR="00440F13" w:rsidRPr="00440F13" w:rsidRDefault="00440F13" w:rsidP="00440F13">
      <w:pPr>
        <w:spacing w:after="120"/>
        <w:rPr>
          <w:rFonts w:asciiTheme="minorHAnsi" w:hAnsiTheme="minorHAnsi"/>
        </w:rPr>
      </w:pPr>
      <w:r w:rsidRPr="00440F13">
        <w:rPr>
          <w:rFonts w:asciiTheme="minorHAnsi" w:hAnsiTheme="minorHAnsi"/>
          <w:b/>
          <w:i/>
        </w:rPr>
        <w:t>RRsi</w:t>
      </w:r>
      <w:r>
        <w:rPr>
          <w:rFonts w:asciiTheme="minorHAnsi" w:hAnsiTheme="minorHAnsi"/>
          <w:i/>
        </w:rPr>
        <w:t xml:space="preserve"> = </w:t>
      </w:r>
      <w:r>
        <w:rPr>
          <w:rFonts w:asciiTheme="minorHAnsi" w:hAnsiTheme="minorHAnsi"/>
        </w:rPr>
        <w:t>Recursos de Revisión que son sobreseídos por el Pleno por ser improcedentes.</w:t>
      </w:r>
    </w:p>
    <w:p w14:paraId="2965E769" w14:textId="77777777" w:rsidR="00A87FE4" w:rsidRDefault="00A87FE4" w:rsidP="00E77C6A">
      <w:pPr>
        <w:spacing w:after="120"/>
        <w:rPr>
          <w:rFonts w:asciiTheme="minorHAnsi" w:hAnsiTheme="minorHAnsi"/>
        </w:rPr>
      </w:pPr>
      <w:r w:rsidRPr="00D2098A">
        <w:rPr>
          <w:rFonts w:asciiTheme="minorHAnsi" w:hAnsiTheme="minorHAnsi"/>
          <w:b/>
          <w:i/>
        </w:rPr>
        <w:t>SIr</w:t>
      </w:r>
      <w:r w:rsidR="00424514" w:rsidRPr="00D2098A">
        <w:rPr>
          <w:rFonts w:asciiTheme="minorHAnsi" w:hAnsiTheme="minorHAnsi"/>
          <w:b/>
          <w:i/>
        </w:rPr>
        <w:t>e</w:t>
      </w:r>
      <w:r w:rsidR="00AE367D" w:rsidRPr="00D2098A">
        <w:rPr>
          <w:rFonts w:asciiTheme="minorHAnsi" w:hAnsiTheme="minorHAnsi"/>
          <w:b/>
          <w:i/>
        </w:rPr>
        <w:t>o</w:t>
      </w:r>
      <w:r w:rsidRPr="00D2098A">
        <w:rPr>
          <w:rFonts w:asciiTheme="minorHAnsi" w:hAnsiTheme="minorHAnsi"/>
        </w:rPr>
        <w:t xml:space="preserve"> = Total de </w:t>
      </w:r>
      <w:r w:rsidR="0026303C" w:rsidRPr="00D2098A">
        <w:rPr>
          <w:rFonts w:asciiTheme="minorHAnsi" w:hAnsiTheme="minorHAnsi"/>
        </w:rPr>
        <w:t>s</w:t>
      </w:r>
      <w:r w:rsidRPr="00D2098A">
        <w:rPr>
          <w:rFonts w:asciiTheme="minorHAnsi" w:hAnsiTheme="minorHAnsi"/>
        </w:rPr>
        <w:t xml:space="preserve">olicitudes de </w:t>
      </w:r>
      <w:r w:rsidR="0026303C" w:rsidRPr="00D2098A">
        <w:rPr>
          <w:rFonts w:asciiTheme="minorHAnsi" w:hAnsiTheme="minorHAnsi"/>
        </w:rPr>
        <w:t>i</w:t>
      </w:r>
      <w:r w:rsidRPr="00D2098A">
        <w:rPr>
          <w:rFonts w:asciiTheme="minorHAnsi" w:hAnsiTheme="minorHAnsi"/>
        </w:rPr>
        <w:t xml:space="preserve">nformación </w:t>
      </w:r>
      <w:r w:rsidR="00C02DC9" w:rsidRPr="00D2098A">
        <w:rPr>
          <w:rFonts w:asciiTheme="minorHAnsi" w:hAnsiTheme="minorHAnsi"/>
        </w:rPr>
        <w:t xml:space="preserve">pública </w:t>
      </w:r>
      <w:r w:rsidRPr="00D2098A">
        <w:rPr>
          <w:rFonts w:asciiTheme="minorHAnsi" w:hAnsiTheme="minorHAnsi"/>
        </w:rPr>
        <w:t xml:space="preserve">recibidas por el </w:t>
      </w:r>
      <w:r w:rsidR="00424514" w:rsidRPr="00D2098A">
        <w:rPr>
          <w:rFonts w:asciiTheme="minorHAnsi" w:hAnsiTheme="minorHAnsi"/>
        </w:rPr>
        <w:t xml:space="preserve">Ente </w:t>
      </w:r>
      <w:r w:rsidR="00AE367D" w:rsidRPr="00D2098A">
        <w:rPr>
          <w:rFonts w:asciiTheme="minorHAnsi" w:hAnsiTheme="minorHAnsi"/>
        </w:rPr>
        <w:t>Obligado</w:t>
      </w:r>
      <w:r w:rsidRPr="00D2098A">
        <w:rPr>
          <w:rFonts w:asciiTheme="minorHAnsi" w:hAnsiTheme="minorHAnsi"/>
        </w:rPr>
        <w:t>.</w:t>
      </w:r>
    </w:p>
    <w:p w14:paraId="456B8089" w14:textId="77777777" w:rsidR="00A87FE4" w:rsidRPr="00D2098A" w:rsidRDefault="00A87FE4" w:rsidP="00A87FE4">
      <w:pPr>
        <w:rPr>
          <w:rFonts w:asciiTheme="minorHAnsi" w:hAnsiTheme="minorHAnsi"/>
          <w:b/>
        </w:rPr>
      </w:pPr>
    </w:p>
    <w:p w14:paraId="482ED5FF" w14:textId="77777777" w:rsidR="00A87FE4" w:rsidRPr="00D2098A" w:rsidRDefault="00A35B0F" w:rsidP="00A87FE4">
      <w:pPr>
        <w:rPr>
          <w:rFonts w:asciiTheme="minorHAnsi" w:hAnsiTheme="minorHAnsi"/>
        </w:rPr>
      </w:pPr>
      <w:r w:rsidRPr="00D2098A">
        <w:rPr>
          <w:rFonts w:asciiTheme="minorHAnsi" w:hAnsiTheme="minorHAnsi"/>
        </w:rPr>
        <w:t>En consecuencia</w:t>
      </w:r>
      <w:r w:rsidR="00A87FE4" w:rsidRPr="00D2098A">
        <w:rPr>
          <w:rFonts w:asciiTheme="minorHAnsi" w:hAnsiTheme="minorHAnsi"/>
        </w:rPr>
        <w:t xml:space="preserve">, este Índice de Acceso </w:t>
      </w:r>
      <w:r w:rsidR="00C02DC9" w:rsidRPr="00D2098A">
        <w:rPr>
          <w:rFonts w:asciiTheme="minorHAnsi" w:hAnsiTheme="minorHAnsi"/>
        </w:rPr>
        <w:t xml:space="preserve">a la Información </w:t>
      </w:r>
      <w:r w:rsidR="00A87FE4" w:rsidRPr="00D2098A">
        <w:rPr>
          <w:rFonts w:asciiTheme="minorHAnsi" w:hAnsiTheme="minorHAnsi"/>
        </w:rPr>
        <w:t xml:space="preserve">(que puede adquirir un valor entre 0 y 100) se </w:t>
      </w:r>
      <w:r w:rsidRPr="00D2098A">
        <w:rPr>
          <w:rFonts w:asciiTheme="minorHAnsi" w:hAnsiTheme="minorHAnsi"/>
        </w:rPr>
        <w:t>debe</w:t>
      </w:r>
      <w:r w:rsidR="00A87FE4" w:rsidRPr="00D2098A">
        <w:rPr>
          <w:rFonts w:asciiTheme="minorHAnsi" w:hAnsiTheme="minorHAnsi"/>
        </w:rPr>
        <w:t xml:space="preserve"> interpretar como </w:t>
      </w:r>
      <w:r w:rsidR="00A87FE4" w:rsidRPr="00D2098A">
        <w:rPr>
          <w:rFonts w:asciiTheme="minorHAnsi" w:hAnsiTheme="minorHAnsi"/>
          <w:i/>
        </w:rPr>
        <w:t xml:space="preserve">el porcentaje de solicitudes de información que el Ente </w:t>
      </w:r>
      <w:r w:rsidR="00EC7B16" w:rsidRPr="00D2098A">
        <w:rPr>
          <w:rFonts w:asciiTheme="minorHAnsi" w:hAnsiTheme="minorHAnsi"/>
          <w:i/>
        </w:rPr>
        <w:t>Obligado</w:t>
      </w:r>
      <w:r w:rsidR="00A87FE4" w:rsidRPr="00D2098A">
        <w:rPr>
          <w:rFonts w:asciiTheme="minorHAnsi" w:hAnsiTheme="minorHAnsi"/>
          <w:i/>
        </w:rPr>
        <w:t xml:space="preserve"> atendió, conforme a la Ley, sin intervención del InfoDF</w:t>
      </w:r>
      <w:r w:rsidR="005436BC" w:rsidRPr="00D2098A">
        <w:rPr>
          <w:rFonts w:asciiTheme="minorHAnsi" w:hAnsiTheme="minorHAnsi"/>
        </w:rPr>
        <w:t>;</w:t>
      </w:r>
      <w:r w:rsidR="00A87FE4" w:rsidRPr="00D2098A">
        <w:rPr>
          <w:rFonts w:asciiTheme="minorHAnsi" w:hAnsiTheme="minorHAnsi"/>
        </w:rPr>
        <w:t xml:space="preserve"> es decir, sin que hubiera necesidad de que el Pleno del Instituto le ordenar</w:t>
      </w:r>
      <w:r w:rsidR="00415667" w:rsidRPr="00D2098A">
        <w:rPr>
          <w:rFonts w:asciiTheme="minorHAnsi" w:hAnsiTheme="minorHAnsi"/>
        </w:rPr>
        <w:t>a</w:t>
      </w:r>
      <w:r w:rsidR="00A87FE4" w:rsidRPr="00D2098A">
        <w:rPr>
          <w:rFonts w:asciiTheme="minorHAnsi" w:hAnsiTheme="minorHAnsi"/>
        </w:rPr>
        <w:t xml:space="preserve"> la entrega, o le modificara o revocara la respuesta, o que sobreseyera el recurso porque se </w:t>
      </w:r>
      <w:r w:rsidR="0025033E" w:rsidRPr="00D2098A">
        <w:rPr>
          <w:rFonts w:asciiTheme="minorHAnsi" w:hAnsiTheme="minorHAnsi"/>
        </w:rPr>
        <w:t xml:space="preserve">haya </w:t>
      </w:r>
      <w:r w:rsidR="00A87FE4" w:rsidRPr="00D2098A">
        <w:rPr>
          <w:rFonts w:asciiTheme="minorHAnsi" w:hAnsiTheme="minorHAnsi"/>
        </w:rPr>
        <w:t>entreg</w:t>
      </w:r>
      <w:r w:rsidR="0025033E" w:rsidRPr="00D2098A">
        <w:rPr>
          <w:rFonts w:asciiTheme="minorHAnsi" w:hAnsiTheme="minorHAnsi"/>
        </w:rPr>
        <w:t>ado</w:t>
      </w:r>
      <w:r w:rsidR="00A87FE4" w:rsidRPr="00D2098A">
        <w:rPr>
          <w:rFonts w:asciiTheme="minorHAnsi" w:hAnsiTheme="minorHAnsi"/>
        </w:rPr>
        <w:t xml:space="preserve"> la información en el </w:t>
      </w:r>
      <w:r w:rsidR="00A87FE4" w:rsidRPr="00D2098A">
        <w:rPr>
          <w:rFonts w:asciiTheme="minorHAnsi" w:hAnsiTheme="minorHAnsi"/>
          <w:i/>
        </w:rPr>
        <w:t>inter</w:t>
      </w:r>
      <w:r w:rsidR="00A87FE4" w:rsidRPr="00D2098A">
        <w:rPr>
          <w:rFonts w:asciiTheme="minorHAnsi" w:hAnsiTheme="minorHAnsi"/>
        </w:rPr>
        <w:t xml:space="preserve"> de dicha resolución.</w:t>
      </w:r>
    </w:p>
    <w:p w14:paraId="47D46364" w14:textId="77777777" w:rsidR="00B44431" w:rsidRPr="00D2098A" w:rsidRDefault="00B44431" w:rsidP="00A87FE4">
      <w:pPr>
        <w:rPr>
          <w:rFonts w:asciiTheme="minorHAnsi" w:hAnsiTheme="minorHAnsi"/>
        </w:rPr>
      </w:pPr>
    </w:p>
    <w:p w14:paraId="39F5BF4E" w14:textId="77777777" w:rsidR="00B44431" w:rsidRPr="00D2098A" w:rsidRDefault="00851B56" w:rsidP="00A87FE4">
      <w:pPr>
        <w:rPr>
          <w:rFonts w:asciiTheme="minorHAnsi" w:hAnsiTheme="minorHAnsi"/>
        </w:rPr>
      </w:pPr>
      <w:r w:rsidRPr="00D2098A">
        <w:rPr>
          <w:rFonts w:asciiTheme="minorHAnsi" w:hAnsiTheme="minorHAnsi"/>
        </w:rPr>
        <w:t>Adicionalmente, c</w:t>
      </w:r>
      <w:r w:rsidR="00B44431" w:rsidRPr="00D2098A">
        <w:rPr>
          <w:rFonts w:asciiTheme="minorHAnsi" w:hAnsiTheme="minorHAnsi"/>
        </w:rPr>
        <w:t>on el propósito de lograr un mayor grado de objetividad en la valoración de este aspecto</w:t>
      </w:r>
      <w:r w:rsidR="00990CC2" w:rsidRPr="00D2098A">
        <w:rPr>
          <w:rFonts w:asciiTheme="minorHAnsi" w:hAnsiTheme="minorHAnsi"/>
        </w:rPr>
        <w:t>, y al igual que en</w:t>
      </w:r>
      <w:r w:rsidR="00891BEC" w:rsidRPr="00D2098A">
        <w:rPr>
          <w:rFonts w:asciiTheme="minorHAnsi" w:hAnsiTheme="minorHAnsi"/>
        </w:rPr>
        <w:t xml:space="preserve"> los </w:t>
      </w:r>
      <w:r w:rsidR="00B44431" w:rsidRPr="00D2098A">
        <w:rPr>
          <w:rFonts w:asciiTheme="minorHAnsi" w:hAnsiTheme="minorHAnsi"/>
        </w:rPr>
        <w:t>ejercicio</w:t>
      </w:r>
      <w:r w:rsidR="005436BC" w:rsidRPr="00D2098A">
        <w:rPr>
          <w:rFonts w:asciiTheme="minorHAnsi" w:hAnsiTheme="minorHAnsi"/>
        </w:rPr>
        <w:t>s</w:t>
      </w:r>
      <w:r w:rsidR="00891BEC" w:rsidRPr="00D2098A">
        <w:rPr>
          <w:rFonts w:asciiTheme="minorHAnsi" w:hAnsiTheme="minorHAnsi"/>
        </w:rPr>
        <w:t xml:space="preserve"> 2009, 201</w:t>
      </w:r>
      <w:r w:rsidR="00F8548F" w:rsidRPr="00D2098A">
        <w:rPr>
          <w:rFonts w:asciiTheme="minorHAnsi" w:hAnsiTheme="minorHAnsi"/>
        </w:rPr>
        <w:t>0</w:t>
      </w:r>
      <w:r w:rsidR="00C02DC9" w:rsidRPr="00D2098A">
        <w:rPr>
          <w:rFonts w:asciiTheme="minorHAnsi" w:hAnsiTheme="minorHAnsi"/>
        </w:rPr>
        <w:t>,</w:t>
      </w:r>
      <w:r w:rsidR="00B44431" w:rsidRPr="00D2098A">
        <w:rPr>
          <w:rFonts w:asciiTheme="minorHAnsi" w:hAnsiTheme="minorHAnsi"/>
        </w:rPr>
        <w:t xml:space="preserve"> 20</w:t>
      </w:r>
      <w:r w:rsidR="00743100" w:rsidRPr="00D2098A">
        <w:rPr>
          <w:rFonts w:asciiTheme="minorHAnsi" w:hAnsiTheme="minorHAnsi"/>
        </w:rPr>
        <w:t>11</w:t>
      </w:r>
      <w:r w:rsidR="005436BC" w:rsidRPr="00D2098A">
        <w:rPr>
          <w:rFonts w:asciiTheme="minorHAnsi" w:hAnsiTheme="minorHAnsi"/>
        </w:rPr>
        <w:t>,</w:t>
      </w:r>
      <w:r w:rsidR="00C02DC9" w:rsidRPr="00D2098A">
        <w:rPr>
          <w:rFonts w:asciiTheme="minorHAnsi" w:hAnsiTheme="minorHAnsi"/>
        </w:rPr>
        <w:t xml:space="preserve"> 2012</w:t>
      </w:r>
      <w:r w:rsidR="005436BC" w:rsidRPr="00D2098A">
        <w:rPr>
          <w:rFonts w:asciiTheme="minorHAnsi" w:hAnsiTheme="minorHAnsi"/>
        </w:rPr>
        <w:t xml:space="preserve"> y 2013</w:t>
      </w:r>
      <w:r w:rsidR="00B44431" w:rsidRPr="00D2098A">
        <w:rPr>
          <w:rFonts w:asciiTheme="minorHAnsi" w:hAnsiTheme="minorHAnsi"/>
        </w:rPr>
        <w:t>, el I</w:t>
      </w:r>
      <w:r w:rsidR="00C02DC9" w:rsidRPr="00D2098A">
        <w:rPr>
          <w:rFonts w:asciiTheme="minorHAnsi" w:hAnsiTheme="minorHAnsi"/>
        </w:rPr>
        <w:t>nfo</w:t>
      </w:r>
      <w:r w:rsidR="00B44431" w:rsidRPr="00D2098A">
        <w:rPr>
          <w:rFonts w:asciiTheme="minorHAnsi" w:hAnsiTheme="minorHAnsi"/>
        </w:rPr>
        <w:t>DF establecer</w:t>
      </w:r>
      <w:r w:rsidR="00990CC2" w:rsidRPr="00D2098A">
        <w:rPr>
          <w:rFonts w:asciiTheme="minorHAnsi" w:hAnsiTheme="minorHAnsi"/>
        </w:rPr>
        <w:t>á</w:t>
      </w:r>
      <w:r w:rsidR="00B44431" w:rsidRPr="00D2098A">
        <w:rPr>
          <w:rFonts w:asciiTheme="minorHAnsi" w:hAnsiTheme="minorHAnsi"/>
        </w:rPr>
        <w:t xml:space="preserve"> </w:t>
      </w:r>
      <w:r w:rsidR="00891BEC" w:rsidRPr="00D2098A">
        <w:rPr>
          <w:rFonts w:asciiTheme="minorHAnsi" w:hAnsiTheme="minorHAnsi"/>
        </w:rPr>
        <w:t>varias</w:t>
      </w:r>
      <w:r w:rsidR="00B44431" w:rsidRPr="00D2098A">
        <w:rPr>
          <w:rFonts w:asciiTheme="minorHAnsi" w:hAnsiTheme="minorHAnsi"/>
        </w:rPr>
        <w:t xml:space="preserve"> categorías de </w:t>
      </w:r>
      <w:r w:rsidR="00891BEC" w:rsidRPr="00D2098A">
        <w:rPr>
          <w:rFonts w:asciiTheme="minorHAnsi" w:hAnsiTheme="minorHAnsi"/>
        </w:rPr>
        <w:t>E</w:t>
      </w:r>
      <w:r w:rsidR="00464192" w:rsidRPr="00D2098A">
        <w:rPr>
          <w:rFonts w:asciiTheme="minorHAnsi" w:hAnsiTheme="minorHAnsi"/>
        </w:rPr>
        <w:t xml:space="preserve">ntes </w:t>
      </w:r>
      <w:r w:rsidR="00891BEC" w:rsidRPr="00D2098A">
        <w:rPr>
          <w:rFonts w:asciiTheme="minorHAnsi" w:hAnsiTheme="minorHAnsi"/>
        </w:rPr>
        <w:t xml:space="preserve">Obligados </w:t>
      </w:r>
      <w:r w:rsidR="00B44431" w:rsidRPr="00D2098A">
        <w:rPr>
          <w:rFonts w:asciiTheme="minorHAnsi" w:hAnsiTheme="minorHAnsi"/>
        </w:rPr>
        <w:t>para la entrega de reconocimientos</w:t>
      </w:r>
      <w:r w:rsidRPr="00D2098A">
        <w:rPr>
          <w:rFonts w:asciiTheme="minorHAnsi" w:hAnsiTheme="minorHAnsi"/>
        </w:rPr>
        <w:t xml:space="preserve"> en este índice</w:t>
      </w:r>
      <w:r w:rsidR="00891BEC" w:rsidRPr="00D2098A">
        <w:rPr>
          <w:rFonts w:asciiTheme="minorHAnsi" w:hAnsiTheme="minorHAnsi"/>
        </w:rPr>
        <w:t xml:space="preserve">. </w:t>
      </w:r>
      <w:r w:rsidR="00895F2A" w:rsidRPr="00D2098A">
        <w:rPr>
          <w:rFonts w:asciiTheme="minorHAnsi" w:hAnsiTheme="minorHAnsi"/>
        </w:rPr>
        <w:t>Dado el resultado de los análisis estadístico</w:t>
      </w:r>
      <w:r w:rsidR="0063491C" w:rsidRPr="00D2098A">
        <w:rPr>
          <w:rFonts w:asciiTheme="minorHAnsi" w:hAnsiTheme="minorHAnsi"/>
        </w:rPr>
        <w:t>s, de la Dirección de Evaluación y Estudios (DEyE),</w:t>
      </w:r>
      <w:r w:rsidR="00895F2A" w:rsidRPr="00D2098A">
        <w:rPr>
          <w:rFonts w:asciiTheme="minorHAnsi" w:hAnsiTheme="minorHAnsi"/>
        </w:rPr>
        <w:t xml:space="preserve"> en cuanto al</w:t>
      </w:r>
      <w:r w:rsidR="00DF0007" w:rsidRPr="00D2098A">
        <w:rPr>
          <w:rFonts w:asciiTheme="minorHAnsi" w:hAnsiTheme="minorHAnsi"/>
        </w:rPr>
        <w:t xml:space="preserve"> número de solicitudes recibidas por todos y cada uno de los Entes Obligados, las categorías serán</w:t>
      </w:r>
      <w:r w:rsidR="00B44431" w:rsidRPr="00D2098A">
        <w:rPr>
          <w:rFonts w:asciiTheme="minorHAnsi" w:hAnsiTheme="minorHAnsi"/>
        </w:rPr>
        <w:t xml:space="preserve">: </w:t>
      </w:r>
      <w:r w:rsidR="005031AC" w:rsidRPr="00D2098A">
        <w:rPr>
          <w:rFonts w:asciiTheme="minorHAnsi" w:hAnsiTheme="minorHAnsi"/>
        </w:rPr>
        <w:t xml:space="preserve">1) </w:t>
      </w:r>
      <w:r w:rsidR="00B44431" w:rsidRPr="00D2098A">
        <w:rPr>
          <w:rFonts w:asciiTheme="minorHAnsi" w:hAnsiTheme="minorHAnsi"/>
        </w:rPr>
        <w:t xml:space="preserve">los que </w:t>
      </w:r>
      <w:r w:rsidR="005031AC" w:rsidRPr="00D2098A">
        <w:rPr>
          <w:rFonts w:asciiTheme="minorHAnsi" w:hAnsiTheme="minorHAnsi"/>
        </w:rPr>
        <w:t xml:space="preserve">hayan </w:t>
      </w:r>
      <w:r w:rsidR="00B44431" w:rsidRPr="00D2098A">
        <w:rPr>
          <w:rFonts w:asciiTheme="minorHAnsi" w:hAnsiTheme="minorHAnsi"/>
        </w:rPr>
        <w:t>recib</w:t>
      </w:r>
      <w:r w:rsidR="005031AC" w:rsidRPr="00D2098A">
        <w:rPr>
          <w:rFonts w:asciiTheme="minorHAnsi" w:hAnsiTheme="minorHAnsi"/>
        </w:rPr>
        <w:t>ido</w:t>
      </w:r>
      <w:r w:rsidR="00B44431" w:rsidRPr="00D2098A">
        <w:rPr>
          <w:rFonts w:asciiTheme="minorHAnsi" w:hAnsiTheme="minorHAnsi"/>
        </w:rPr>
        <w:t xml:space="preserve"> de 1 a </w:t>
      </w:r>
      <w:r w:rsidR="00DF0007" w:rsidRPr="00D2098A">
        <w:rPr>
          <w:rFonts w:asciiTheme="minorHAnsi" w:hAnsiTheme="minorHAnsi"/>
        </w:rPr>
        <w:t>500</w:t>
      </w:r>
      <w:r w:rsidR="00B44431" w:rsidRPr="00D2098A">
        <w:rPr>
          <w:rFonts w:asciiTheme="minorHAnsi" w:hAnsiTheme="minorHAnsi"/>
        </w:rPr>
        <w:t xml:space="preserve"> solicitudes</w:t>
      </w:r>
      <w:r w:rsidR="00990CC2" w:rsidRPr="00D2098A">
        <w:rPr>
          <w:rFonts w:asciiTheme="minorHAnsi" w:hAnsiTheme="minorHAnsi"/>
        </w:rPr>
        <w:t xml:space="preserve"> de información pública</w:t>
      </w:r>
      <w:r w:rsidR="00DF0007" w:rsidRPr="00D2098A">
        <w:rPr>
          <w:rFonts w:asciiTheme="minorHAnsi" w:hAnsiTheme="minorHAnsi"/>
        </w:rPr>
        <w:t>;</w:t>
      </w:r>
      <w:r w:rsidR="00B44431" w:rsidRPr="00D2098A">
        <w:rPr>
          <w:rFonts w:asciiTheme="minorHAnsi" w:hAnsiTheme="minorHAnsi"/>
        </w:rPr>
        <w:t xml:space="preserve"> </w:t>
      </w:r>
      <w:r w:rsidR="005031AC" w:rsidRPr="00D2098A">
        <w:rPr>
          <w:rFonts w:asciiTheme="minorHAnsi" w:hAnsiTheme="minorHAnsi"/>
        </w:rPr>
        <w:t xml:space="preserve">2) </w:t>
      </w:r>
      <w:r w:rsidR="00B44431" w:rsidRPr="00D2098A">
        <w:rPr>
          <w:rFonts w:asciiTheme="minorHAnsi" w:hAnsiTheme="minorHAnsi"/>
        </w:rPr>
        <w:t xml:space="preserve">los que </w:t>
      </w:r>
      <w:r w:rsidR="005031AC" w:rsidRPr="00D2098A">
        <w:rPr>
          <w:rFonts w:asciiTheme="minorHAnsi" w:hAnsiTheme="minorHAnsi"/>
        </w:rPr>
        <w:t xml:space="preserve">hayan </w:t>
      </w:r>
      <w:r w:rsidR="00B44431" w:rsidRPr="00D2098A">
        <w:rPr>
          <w:rFonts w:asciiTheme="minorHAnsi" w:hAnsiTheme="minorHAnsi"/>
        </w:rPr>
        <w:t>recib</w:t>
      </w:r>
      <w:r w:rsidR="005031AC" w:rsidRPr="00D2098A">
        <w:rPr>
          <w:rFonts w:asciiTheme="minorHAnsi" w:hAnsiTheme="minorHAnsi"/>
        </w:rPr>
        <w:t xml:space="preserve">ido </w:t>
      </w:r>
      <w:r w:rsidR="00B44431" w:rsidRPr="00D2098A">
        <w:rPr>
          <w:rFonts w:asciiTheme="minorHAnsi" w:hAnsiTheme="minorHAnsi"/>
        </w:rPr>
        <w:t>de 5</w:t>
      </w:r>
      <w:r w:rsidR="00DF0007" w:rsidRPr="00D2098A">
        <w:rPr>
          <w:rFonts w:asciiTheme="minorHAnsi" w:hAnsiTheme="minorHAnsi"/>
        </w:rPr>
        <w:t>0</w:t>
      </w:r>
      <w:r w:rsidR="00B44431" w:rsidRPr="00D2098A">
        <w:rPr>
          <w:rFonts w:asciiTheme="minorHAnsi" w:hAnsiTheme="minorHAnsi"/>
        </w:rPr>
        <w:t>1 a 1,</w:t>
      </w:r>
      <w:r w:rsidR="00DF0007" w:rsidRPr="00D2098A">
        <w:rPr>
          <w:rFonts w:asciiTheme="minorHAnsi" w:hAnsiTheme="minorHAnsi"/>
        </w:rPr>
        <w:t>000 solicitudes;</w:t>
      </w:r>
      <w:r w:rsidR="00B44431" w:rsidRPr="00D2098A">
        <w:rPr>
          <w:rFonts w:asciiTheme="minorHAnsi" w:hAnsiTheme="minorHAnsi"/>
        </w:rPr>
        <w:t xml:space="preserve"> </w:t>
      </w:r>
      <w:r w:rsidR="005031AC" w:rsidRPr="00D2098A">
        <w:rPr>
          <w:rFonts w:asciiTheme="minorHAnsi" w:hAnsiTheme="minorHAnsi"/>
        </w:rPr>
        <w:t xml:space="preserve">3) </w:t>
      </w:r>
      <w:r w:rsidR="00B44431" w:rsidRPr="00D2098A">
        <w:rPr>
          <w:rFonts w:asciiTheme="minorHAnsi" w:hAnsiTheme="minorHAnsi"/>
        </w:rPr>
        <w:t xml:space="preserve">los que </w:t>
      </w:r>
      <w:r w:rsidR="005031AC" w:rsidRPr="00D2098A">
        <w:rPr>
          <w:rFonts w:asciiTheme="minorHAnsi" w:hAnsiTheme="minorHAnsi"/>
        </w:rPr>
        <w:t xml:space="preserve">hayan </w:t>
      </w:r>
      <w:r w:rsidR="00B44431" w:rsidRPr="00D2098A">
        <w:rPr>
          <w:rFonts w:asciiTheme="minorHAnsi" w:hAnsiTheme="minorHAnsi"/>
        </w:rPr>
        <w:t>recib</w:t>
      </w:r>
      <w:r w:rsidR="005031AC" w:rsidRPr="00D2098A">
        <w:rPr>
          <w:rFonts w:asciiTheme="minorHAnsi" w:hAnsiTheme="minorHAnsi"/>
        </w:rPr>
        <w:t xml:space="preserve">ido </w:t>
      </w:r>
      <w:r w:rsidR="00B44431" w:rsidRPr="00D2098A">
        <w:rPr>
          <w:rFonts w:asciiTheme="minorHAnsi" w:hAnsiTheme="minorHAnsi"/>
        </w:rPr>
        <w:t>de 1,</w:t>
      </w:r>
      <w:r w:rsidR="00DF0007" w:rsidRPr="00D2098A">
        <w:rPr>
          <w:rFonts w:asciiTheme="minorHAnsi" w:hAnsiTheme="minorHAnsi"/>
        </w:rPr>
        <w:t>0</w:t>
      </w:r>
      <w:r w:rsidR="00B44431" w:rsidRPr="00D2098A">
        <w:rPr>
          <w:rFonts w:asciiTheme="minorHAnsi" w:hAnsiTheme="minorHAnsi"/>
        </w:rPr>
        <w:t xml:space="preserve">01 </w:t>
      </w:r>
      <w:r w:rsidR="00DF0007" w:rsidRPr="00D2098A">
        <w:rPr>
          <w:rFonts w:asciiTheme="minorHAnsi" w:hAnsiTheme="minorHAnsi"/>
        </w:rPr>
        <w:t xml:space="preserve">a 1,500; 4) los que hayan recibido de 1,501 solicitudes a 2,000; y 5) los que hayan recibido de 2001 </w:t>
      </w:r>
      <w:r w:rsidR="00B44431" w:rsidRPr="00D2098A">
        <w:rPr>
          <w:rFonts w:asciiTheme="minorHAnsi" w:hAnsiTheme="minorHAnsi"/>
        </w:rPr>
        <w:t>solicitudes</w:t>
      </w:r>
      <w:r w:rsidR="00990CC2" w:rsidRPr="00D2098A">
        <w:rPr>
          <w:rFonts w:asciiTheme="minorHAnsi" w:hAnsiTheme="minorHAnsi"/>
        </w:rPr>
        <w:t xml:space="preserve"> en adelante</w:t>
      </w:r>
      <w:r w:rsidR="00B44431" w:rsidRPr="00D2098A">
        <w:rPr>
          <w:rFonts w:asciiTheme="minorHAnsi" w:hAnsiTheme="minorHAnsi"/>
        </w:rPr>
        <w:t>.</w:t>
      </w:r>
    </w:p>
    <w:p w14:paraId="23B8F438" w14:textId="77777777" w:rsidR="001612AF" w:rsidRPr="00D2098A" w:rsidRDefault="001612AF" w:rsidP="00A87FE4">
      <w:pPr>
        <w:rPr>
          <w:rFonts w:asciiTheme="minorHAnsi" w:hAnsiTheme="minorHAnsi"/>
        </w:rPr>
      </w:pPr>
    </w:p>
    <w:p w14:paraId="097DDCDE" w14:textId="77777777" w:rsidR="00B44431" w:rsidRPr="00D2098A" w:rsidRDefault="00990CC2" w:rsidP="00A87FE4">
      <w:pPr>
        <w:rPr>
          <w:rFonts w:asciiTheme="minorHAnsi" w:hAnsiTheme="minorHAnsi"/>
        </w:rPr>
      </w:pPr>
      <w:r w:rsidRPr="00D2098A">
        <w:rPr>
          <w:rFonts w:asciiTheme="minorHAnsi" w:hAnsiTheme="minorHAnsi"/>
        </w:rPr>
        <w:t>Con e</w:t>
      </w:r>
      <w:r w:rsidR="00B44431" w:rsidRPr="00D2098A">
        <w:rPr>
          <w:rFonts w:asciiTheme="minorHAnsi" w:hAnsiTheme="minorHAnsi"/>
        </w:rPr>
        <w:t>sta categorización</w:t>
      </w:r>
      <w:r w:rsidRPr="00D2098A">
        <w:rPr>
          <w:rFonts w:asciiTheme="minorHAnsi" w:hAnsiTheme="minorHAnsi"/>
        </w:rPr>
        <w:t xml:space="preserve">, que </w:t>
      </w:r>
      <w:r w:rsidR="00BA47A2" w:rsidRPr="00D2098A">
        <w:rPr>
          <w:rFonts w:asciiTheme="minorHAnsi" w:hAnsiTheme="minorHAnsi"/>
        </w:rPr>
        <w:t xml:space="preserve">considerará </w:t>
      </w:r>
      <w:r w:rsidR="00B44431" w:rsidRPr="00D2098A">
        <w:rPr>
          <w:rFonts w:asciiTheme="minorHAnsi" w:hAnsiTheme="minorHAnsi"/>
        </w:rPr>
        <w:t xml:space="preserve">las diferentes cargas de trabajo </w:t>
      </w:r>
      <w:r w:rsidR="0025033E" w:rsidRPr="00D2098A">
        <w:rPr>
          <w:rFonts w:asciiTheme="minorHAnsi" w:hAnsiTheme="minorHAnsi"/>
        </w:rPr>
        <w:t>de</w:t>
      </w:r>
      <w:r w:rsidR="00564D70" w:rsidRPr="00D2098A">
        <w:rPr>
          <w:rFonts w:asciiTheme="minorHAnsi" w:hAnsiTheme="minorHAnsi"/>
        </w:rPr>
        <w:t>rivadas de</w:t>
      </w:r>
      <w:r w:rsidR="0025033E" w:rsidRPr="00D2098A">
        <w:rPr>
          <w:rFonts w:asciiTheme="minorHAnsi" w:hAnsiTheme="minorHAnsi"/>
        </w:rPr>
        <w:t xml:space="preserve">l número de </w:t>
      </w:r>
      <w:r w:rsidR="00DE618A" w:rsidRPr="00D2098A">
        <w:rPr>
          <w:rFonts w:asciiTheme="minorHAnsi" w:hAnsiTheme="minorHAnsi"/>
        </w:rPr>
        <w:t xml:space="preserve">solicitudes de información </w:t>
      </w:r>
      <w:r w:rsidR="00B44431" w:rsidRPr="00D2098A">
        <w:rPr>
          <w:rFonts w:asciiTheme="minorHAnsi" w:hAnsiTheme="minorHAnsi"/>
        </w:rPr>
        <w:t xml:space="preserve">que reciben los </w:t>
      </w:r>
      <w:r w:rsidR="00564D70" w:rsidRPr="00D2098A">
        <w:rPr>
          <w:rFonts w:asciiTheme="minorHAnsi" w:hAnsiTheme="minorHAnsi"/>
        </w:rPr>
        <w:t xml:space="preserve">distintos </w:t>
      </w:r>
      <w:r w:rsidR="00F76859" w:rsidRPr="00D2098A">
        <w:rPr>
          <w:rFonts w:asciiTheme="minorHAnsi" w:hAnsiTheme="minorHAnsi"/>
        </w:rPr>
        <w:t>Entes O</w:t>
      </w:r>
      <w:r w:rsidRPr="00D2098A">
        <w:rPr>
          <w:rFonts w:asciiTheme="minorHAnsi" w:hAnsiTheme="minorHAnsi"/>
        </w:rPr>
        <w:t>bligados</w:t>
      </w:r>
      <w:r w:rsidR="00B44431" w:rsidRPr="00D2098A">
        <w:rPr>
          <w:rFonts w:asciiTheme="minorHAnsi" w:hAnsiTheme="minorHAnsi"/>
        </w:rPr>
        <w:t>, se otorgar</w:t>
      </w:r>
      <w:r w:rsidRPr="00D2098A">
        <w:rPr>
          <w:rFonts w:asciiTheme="minorHAnsi" w:hAnsiTheme="minorHAnsi"/>
        </w:rPr>
        <w:t>á</w:t>
      </w:r>
      <w:r w:rsidR="00DF0007" w:rsidRPr="00D2098A">
        <w:rPr>
          <w:rFonts w:asciiTheme="minorHAnsi" w:hAnsiTheme="minorHAnsi"/>
        </w:rPr>
        <w:t>n</w:t>
      </w:r>
      <w:r w:rsidRPr="00D2098A">
        <w:rPr>
          <w:rFonts w:asciiTheme="minorHAnsi" w:hAnsiTheme="minorHAnsi"/>
        </w:rPr>
        <w:t xml:space="preserve"> </w:t>
      </w:r>
      <w:r w:rsidR="00B44431" w:rsidRPr="00D2098A">
        <w:rPr>
          <w:rFonts w:asciiTheme="minorHAnsi" w:hAnsiTheme="minorHAnsi"/>
        </w:rPr>
        <w:t xml:space="preserve">reconocimientos </w:t>
      </w:r>
      <w:r w:rsidR="006719E9" w:rsidRPr="00D2098A">
        <w:rPr>
          <w:rFonts w:asciiTheme="minorHAnsi" w:hAnsiTheme="minorHAnsi"/>
        </w:rPr>
        <w:t xml:space="preserve">únicamente </w:t>
      </w:r>
      <w:r w:rsidR="00B44431" w:rsidRPr="00D2098A">
        <w:rPr>
          <w:rFonts w:asciiTheme="minorHAnsi" w:hAnsiTheme="minorHAnsi"/>
        </w:rPr>
        <w:t>a los primeros lugares</w:t>
      </w:r>
      <w:r w:rsidR="0025033E" w:rsidRPr="00D2098A">
        <w:rPr>
          <w:rFonts w:asciiTheme="minorHAnsi" w:hAnsiTheme="minorHAnsi"/>
        </w:rPr>
        <w:t xml:space="preserve"> de</w:t>
      </w:r>
      <w:r w:rsidR="006719E9" w:rsidRPr="00D2098A">
        <w:rPr>
          <w:rFonts w:asciiTheme="minorHAnsi" w:hAnsiTheme="minorHAnsi"/>
        </w:rPr>
        <w:t xml:space="preserve">ntro de cada una de las </w:t>
      </w:r>
      <w:r w:rsidR="007D29DB" w:rsidRPr="00D2098A">
        <w:rPr>
          <w:rFonts w:asciiTheme="minorHAnsi" w:hAnsiTheme="minorHAnsi"/>
        </w:rPr>
        <w:t>cinco</w:t>
      </w:r>
      <w:r w:rsidR="006719E9" w:rsidRPr="00D2098A">
        <w:rPr>
          <w:rFonts w:asciiTheme="minorHAnsi" w:hAnsiTheme="minorHAnsi"/>
        </w:rPr>
        <w:t xml:space="preserve"> categorías.</w:t>
      </w:r>
    </w:p>
    <w:p w14:paraId="3C8EDFEE" w14:textId="77777777" w:rsidR="00C32F45" w:rsidRPr="00D2098A" w:rsidRDefault="00C32F45" w:rsidP="009714E3">
      <w:pPr>
        <w:rPr>
          <w:rFonts w:asciiTheme="minorHAnsi" w:hAnsiTheme="minorHAnsi"/>
        </w:rPr>
      </w:pPr>
    </w:p>
    <w:p w14:paraId="5031788A" w14:textId="77777777" w:rsidR="00B552A8" w:rsidRPr="00D2098A" w:rsidRDefault="00B552A8" w:rsidP="009714E3">
      <w:pPr>
        <w:rPr>
          <w:rFonts w:asciiTheme="minorHAnsi" w:hAnsiTheme="minorHAnsi"/>
        </w:rPr>
      </w:pPr>
    </w:p>
    <w:p w14:paraId="14EA2020" w14:textId="77777777" w:rsidR="00DE561E" w:rsidRPr="00D2098A" w:rsidRDefault="00E77C6A" w:rsidP="00DE561E">
      <w:pPr>
        <w:rPr>
          <w:rFonts w:asciiTheme="minorHAnsi" w:hAnsiTheme="minorHAnsi"/>
          <w:b/>
        </w:rPr>
      </w:pPr>
      <w:r w:rsidRPr="00D2098A">
        <w:rPr>
          <w:rFonts w:asciiTheme="minorHAnsi" w:hAnsiTheme="minorHAnsi"/>
          <w:b/>
        </w:rPr>
        <w:t>IV.</w:t>
      </w:r>
      <w:r w:rsidR="007A7716" w:rsidRPr="00D2098A">
        <w:rPr>
          <w:rFonts w:asciiTheme="minorHAnsi" w:hAnsiTheme="minorHAnsi"/>
          <w:b/>
        </w:rPr>
        <w:t>3</w:t>
      </w:r>
      <w:r w:rsidR="00DE561E" w:rsidRPr="00D2098A">
        <w:rPr>
          <w:rFonts w:asciiTheme="minorHAnsi" w:hAnsiTheme="minorHAnsi"/>
          <w:b/>
        </w:rPr>
        <w:t xml:space="preserve">. </w:t>
      </w:r>
      <w:r w:rsidR="00555FA7" w:rsidRPr="00D2098A">
        <w:rPr>
          <w:rFonts w:asciiTheme="minorHAnsi" w:hAnsiTheme="minorHAnsi"/>
          <w:b/>
        </w:rPr>
        <w:t>Índice de c</w:t>
      </w:r>
      <w:r w:rsidR="00036F24" w:rsidRPr="00D2098A">
        <w:rPr>
          <w:rFonts w:asciiTheme="minorHAnsi" w:hAnsiTheme="minorHAnsi"/>
          <w:b/>
          <w:i/>
        </w:rPr>
        <w:t>umplimiento, en tiempo y forma, de los requerimientos del I</w:t>
      </w:r>
      <w:r w:rsidR="00C02DC9" w:rsidRPr="00D2098A">
        <w:rPr>
          <w:rFonts w:asciiTheme="minorHAnsi" w:hAnsiTheme="minorHAnsi"/>
          <w:b/>
          <w:i/>
        </w:rPr>
        <w:t>nfo</w:t>
      </w:r>
      <w:r w:rsidR="00036F24" w:rsidRPr="00D2098A">
        <w:rPr>
          <w:rFonts w:asciiTheme="minorHAnsi" w:hAnsiTheme="minorHAnsi"/>
          <w:b/>
          <w:i/>
        </w:rPr>
        <w:t xml:space="preserve">DF </w:t>
      </w:r>
      <w:r w:rsidR="00C02DC9" w:rsidRPr="00D2098A">
        <w:rPr>
          <w:rFonts w:asciiTheme="minorHAnsi" w:hAnsiTheme="minorHAnsi"/>
          <w:b/>
          <w:i/>
        </w:rPr>
        <w:t>para la observancia de la LTAIPDF</w:t>
      </w:r>
      <w:r w:rsidR="00371E34" w:rsidRPr="00D2098A">
        <w:rPr>
          <w:rFonts w:asciiTheme="minorHAnsi" w:hAnsiTheme="minorHAnsi"/>
          <w:b/>
          <w:i/>
        </w:rPr>
        <w:t>.</w:t>
      </w:r>
    </w:p>
    <w:p w14:paraId="74DF24DE" w14:textId="77777777" w:rsidR="001B33D0" w:rsidRPr="00D2098A" w:rsidRDefault="001B33D0" w:rsidP="009714E3">
      <w:pPr>
        <w:rPr>
          <w:rFonts w:asciiTheme="minorHAnsi" w:hAnsiTheme="minorHAnsi"/>
        </w:rPr>
      </w:pPr>
    </w:p>
    <w:p w14:paraId="2F965029" w14:textId="77777777" w:rsidR="003A07CB" w:rsidRPr="00D2098A" w:rsidRDefault="00041860" w:rsidP="00285F19">
      <w:pPr>
        <w:rPr>
          <w:rFonts w:asciiTheme="minorHAnsi" w:hAnsiTheme="minorHAnsi"/>
          <w:lang w:val="es-MX"/>
        </w:rPr>
      </w:pPr>
      <w:r w:rsidRPr="00D2098A">
        <w:rPr>
          <w:rFonts w:asciiTheme="minorHAnsi" w:hAnsiTheme="minorHAnsi"/>
          <w:lang w:val="es-MX"/>
        </w:rPr>
        <w:t>E</w:t>
      </w:r>
      <w:r w:rsidR="00313CA7" w:rsidRPr="00D2098A">
        <w:rPr>
          <w:rFonts w:asciiTheme="minorHAnsi" w:hAnsiTheme="minorHAnsi"/>
          <w:lang w:val="es-MX"/>
        </w:rPr>
        <w:t xml:space="preserve">n el </w:t>
      </w:r>
      <w:r w:rsidR="007A7716" w:rsidRPr="00D2098A">
        <w:rPr>
          <w:rFonts w:asciiTheme="minorHAnsi" w:hAnsiTheme="minorHAnsi"/>
          <w:lang w:val="es-MX"/>
        </w:rPr>
        <w:t xml:space="preserve">tercer </w:t>
      </w:r>
      <w:r w:rsidR="00BC12E9" w:rsidRPr="00D2098A">
        <w:rPr>
          <w:rFonts w:asciiTheme="minorHAnsi" w:hAnsiTheme="minorHAnsi"/>
          <w:lang w:val="es-MX"/>
        </w:rPr>
        <w:t>a</w:t>
      </w:r>
      <w:r w:rsidR="00E416F4" w:rsidRPr="00D2098A">
        <w:rPr>
          <w:rFonts w:asciiTheme="minorHAnsi" w:hAnsiTheme="minorHAnsi"/>
          <w:lang w:val="es-MX"/>
        </w:rPr>
        <w:t>s</w:t>
      </w:r>
      <w:r w:rsidR="00BC12E9" w:rsidRPr="00D2098A">
        <w:rPr>
          <w:rFonts w:asciiTheme="minorHAnsi" w:hAnsiTheme="minorHAnsi"/>
          <w:lang w:val="es-MX"/>
        </w:rPr>
        <w:t>pecto</w:t>
      </w:r>
      <w:r w:rsidR="00313CA7" w:rsidRPr="00D2098A">
        <w:rPr>
          <w:rFonts w:asciiTheme="minorHAnsi" w:hAnsiTheme="minorHAnsi"/>
          <w:lang w:val="es-MX"/>
        </w:rPr>
        <w:t xml:space="preserve"> </w:t>
      </w:r>
      <w:r w:rsidR="00F85FFD" w:rsidRPr="00D2098A">
        <w:rPr>
          <w:rFonts w:asciiTheme="minorHAnsi" w:hAnsiTheme="minorHAnsi"/>
          <w:lang w:val="es-MX"/>
        </w:rPr>
        <w:t>relativo al</w:t>
      </w:r>
      <w:r w:rsidR="00313CA7" w:rsidRPr="00D2098A">
        <w:rPr>
          <w:rFonts w:asciiTheme="minorHAnsi" w:hAnsiTheme="minorHAnsi"/>
          <w:lang w:val="es-MX"/>
        </w:rPr>
        <w:t xml:space="preserve"> </w:t>
      </w:r>
      <w:r w:rsidR="005F4ADA" w:rsidRPr="00D2098A">
        <w:rPr>
          <w:rFonts w:asciiTheme="minorHAnsi" w:hAnsiTheme="minorHAnsi"/>
          <w:b/>
        </w:rPr>
        <w:t>Cumplimiento, en tiempo y forma, de los requerimientos del I</w:t>
      </w:r>
      <w:r w:rsidR="00C02DC9" w:rsidRPr="00D2098A">
        <w:rPr>
          <w:rFonts w:asciiTheme="minorHAnsi" w:hAnsiTheme="minorHAnsi"/>
          <w:b/>
        </w:rPr>
        <w:t>nfo</w:t>
      </w:r>
      <w:r w:rsidR="005F4ADA" w:rsidRPr="00D2098A">
        <w:rPr>
          <w:rFonts w:asciiTheme="minorHAnsi" w:hAnsiTheme="minorHAnsi"/>
          <w:b/>
        </w:rPr>
        <w:t xml:space="preserve">DF para </w:t>
      </w:r>
      <w:r w:rsidR="00990CC2" w:rsidRPr="00D2098A">
        <w:rPr>
          <w:rFonts w:asciiTheme="minorHAnsi" w:hAnsiTheme="minorHAnsi"/>
          <w:b/>
        </w:rPr>
        <w:t>la observancia</w:t>
      </w:r>
      <w:r w:rsidR="005F4ADA" w:rsidRPr="00D2098A">
        <w:rPr>
          <w:rFonts w:asciiTheme="minorHAnsi" w:hAnsiTheme="minorHAnsi"/>
          <w:b/>
        </w:rPr>
        <w:t xml:space="preserve"> de la LTAIPDF</w:t>
      </w:r>
      <w:r w:rsidR="00C02DC9" w:rsidRPr="00D2098A">
        <w:rPr>
          <w:rFonts w:asciiTheme="minorHAnsi" w:hAnsiTheme="minorHAnsi"/>
          <w:b/>
        </w:rPr>
        <w:t xml:space="preserve"> (</w:t>
      </w:r>
      <w:r w:rsidR="00C02DC9" w:rsidRPr="00D2098A">
        <w:rPr>
          <w:rFonts w:asciiTheme="minorHAnsi" w:hAnsiTheme="minorHAnsi"/>
          <w:b/>
          <w:i/>
          <w:lang w:val="es-MX"/>
        </w:rPr>
        <w:t>IC</w:t>
      </w:r>
      <w:r w:rsidR="00C02DC9" w:rsidRPr="00D2098A">
        <w:rPr>
          <w:rFonts w:asciiTheme="minorHAnsi" w:hAnsiTheme="minorHAnsi"/>
          <w:b/>
          <w:i/>
          <w:vertAlign w:val="subscript"/>
          <w:lang w:val="es-MX"/>
        </w:rPr>
        <w:t>TyF</w:t>
      </w:r>
      <w:r w:rsidR="00C02DC9" w:rsidRPr="00D2098A">
        <w:rPr>
          <w:rFonts w:asciiTheme="minorHAnsi" w:hAnsiTheme="minorHAnsi"/>
          <w:b/>
        </w:rPr>
        <w:t>)</w:t>
      </w:r>
      <w:r w:rsidR="00036F24" w:rsidRPr="00D2098A">
        <w:rPr>
          <w:rFonts w:asciiTheme="minorHAnsi" w:hAnsiTheme="minorHAnsi"/>
          <w:i/>
        </w:rPr>
        <w:t>,</w:t>
      </w:r>
      <w:r w:rsidR="00F85FFD" w:rsidRPr="00D2098A">
        <w:rPr>
          <w:rFonts w:asciiTheme="minorHAnsi" w:hAnsiTheme="minorHAnsi"/>
          <w:lang w:val="es-MX"/>
        </w:rPr>
        <w:t xml:space="preserve"> </w:t>
      </w:r>
      <w:r w:rsidR="002C749A" w:rsidRPr="00D2098A">
        <w:rPr>
          <w:rFonts w:asciiTheme="minorHAnsi" w:hAnsiTheme="minorHAnsi"/>
          <w:lang w:val="es-MX"/>
        </w:rPr>
        <w:t>que representa el 20</w:t>
      </w:r>
      <w:r w:rsidR="00012492" w:rsidRPr="00D2098A">
        <w:rPr>
          <w:rFonts w:asciiTheme="minorHAnsi" w:hAnsiTheme="minorHAnsi"/>
          <w:lang w:val="es-MX"/>
        </w:rPr>
        <w:t xml:space="preserve">% del Índice </w:t>
      </w:r>
      <w:r w:rsidR="007D44FE" w:rsidRPr="00D2098A">
        <w:rPr>
          <w:rFonts w:asciiTheme="minorHAnsi" w:hAnsiTheme="minorHAnsi"/>
          <w:lang w:val="es-MX"/>
        </w:rPr>
        <w:t>Compuesto</w:t>
      </w:r>
      <w:r w:rsidR="00012492" w:rsidRPr="00D2098A">
        <w:rPr>
          <w:rFonts w:asciiTheme="minorHAnsi" w:hAnsiTheme="minorHAnsi"/>
          <w:lang w:val="es-MX"/>
        </w:rPr>
        <w:t xml:space="preserve"> de Mejores Prácticas </w:t>
      </w:r>
      <w:r w:rsidR="00990CC2" w:rsidRPr="00D2098A">
        <w:rPr>
          <w:rFonts w:asciiTheme="minorHAnsi" w:hAnsiTheme="minorHAnsi"/>
          <w:lang w:val="es-MX"/>
        </w:rPr>
        <w:t>de Transparencia, se considerarán</w:t>
      </w:r>
      <w:r w:rsidR="00012492" w:rsidRPr="00D2098A">
        <w:rPr>
          <w:rFonts w:asciiTheme="minorHAnsi" w:hAnsiTheme="minorHAnsi"/>
          <w:lang w:val="es-MX"/>
        </w:rPr>
        <w:t xml:space="preserve"> los siguientes </w:t>
      </w:r>
      <w:r w:rsidR="00BC12E9" w:rsidRPr="00D2098A">
        <w:rPr>
          <w:rFonts w:asciiTheme="minorHAnsi" w:hAnsiTheme="minorHAnsi"/>
          <w:lang w:val="es-MX"/>
        </w:rPr>
        <w:t>requerimientos</w:t>
      </w:r>
      <w:r w:rsidR="00036F24" w:rsidRPr="00D2098A">
        <w:rPr>
          <w:rFonts w:asciiTheme="minorHAnsi" w:hAnsiTheme="minorHAnsi"/>
          <w:lang w:val="es-MX"/>
        </w:rPr>
        <w:t xml:space="preserve">: </w:t>
      </w:r>
    </w:p>
    <w:p w14:paraId="348E03F2" w14:textId="77777777" w:rsidR="00E67007" w:rsidRPr="00D2098A" w:rsidRDefault="00E67007" w:rsidP="00285F19">
      <w:pPr>
        <w:pStyle w:val="Prrafodelista"/>
        <w:numPr>
          <w:ilvl w:val="0"/>
          <w:numId w:val="34"/>
        </w:numPr>
        <w:rPr>
          <w:rFonts w:asciiTheme="minorHAnsi" w:hAnsiTheme="minorHAnsi"/>
          <w:lang w:val="es-MX"/>
        </w:rPr>
      </w:pPr>
      <w:r w:rsidRPr="00D2098A">
        <w:rPr>
          <w:rFonts w:asciiTheme="minorHAnsi" w:hAnsiTheme="minorHAnsi"/>
          <w:lang w:val="es-MX"/>
        </w:rPr>
        <w:t xml:space="preserve">Informe anual </w:t>
      </w:r>
      <w:r w:rsidR="00483F2B" w:rsidRPr="00D2098A">
        <w:rPr>
          <w:rFonts w:asciiTheme="minorHAnsi" w:hAnsiTheme="minorHAnsi"/>
          <w:lang w:val="es-MX"/>
        </w:rPr>
        <w:t>2013</w:t>
      </w:r>
      <w:r w:rsidR="00545E8F" w:rsidRPr="00D2098A">
        <w:rPr>
          <w:rFonts w:asciiTheme="minorHAnsi" w:hAnsiTheme="minorHAnsi"/>
          <w:lang w:val="es-MX"/>
        </w:rPr>
        <w:t xml:space="preserve"> </w:t>
      </w:r>
      <w:r w:rsidRPr="00D2098A">
        <w:rPr>
          <w:rFonts w:asciiTheme="minorHAnsi" w:hAnsiTheme="minorHAnsi"/>
          <w:lang w:val="es-MX"/>
        </w:rPr>
        <w:t xml:space="preserve">de </w:t>
      </w:r>
      <w:r w:rsidR="00E6746C" w:rsidRPr="00D2098A">
        <w:rPr>
          <w:rFonts w:asciiTheme="minorHAnsi" w:hAnsiTheme="minorHAnsi"/>
          <w:lang w:val="es-MX"/>
        </w:rPr>
        <w:t xml:space="preserve">las </w:t>
      </w:r>
      <w:r w:rsidRPr="00D2098A">
        <w:rPr>
          <w:rFonts w:asciiTheme="minorHAnsi" w:hAnsiTheme="minorHAnsi"/>
          <w:lang w:val="es-MX"/>
        </w:rPr>
        <w:t xml:space="preserve">solicitudes de información pública y de datos personales </w:t>
      </w:r>
      <w:r w:rsidR="00545E8F" w:rsidRPr="00D2098A">
        <w:rPr>
          <w:rFonts w:asciiTheme="minorHAnsi" w:hAnsiTheme="minorHAnsi"/>
          <w:lang w:val="es-MX"/>
        </w:rPr>
        <w:t>(</w:t>
      </w:r>
      <w:r w:rsidR="00895F2A" w:rsidRPr="00D2098A">
        <w:rPr>
          <w:rFonts w:asciiTheme="minorHAnsi" w:hAnsiTheme="minorHAnsi"/>
          <w:lang w:val="es-MX"/>
        </w:rPr>
        <w:t>captura en el SICRESI</w:t>
      </w:r>
      <w:r w:rsidRPr="00D2098A">
        <w:rPr>
          <w:rFonts w:asciiTheme="minorHAnsi" w:hAnsiTheme="minorHAnsi"/>
          <w:lang w:val="es-MX"/>
        </w:rPr>
        <w:t>)</w:t>
      </w:r>
      <w:r w:rsidR="003B56A8" w:rsidRPr="00D2098A">
        <w:rPr>
          <w:rFonts w:asciiTheme="minorHAnsi" w:hAnsiTheme="minorHAnsi"/>
          <w:lang w:val="es-MX"/>
        </w:rPr>
        <w:t>.</w:t>
      </w:r>
    </w:p>
    <w:p w14:paraId="473A2697" w14:textId="77777777" w:rsidR="00545E8F" w:rsidRPr="00D2098A" w:rsidRDefault="00483F2B" w:rsidP="00545E8F">
      <w:pPr>
        <w:pStyle w:val="Prrafodelista"/>
        <w:numPr>
          <w:ilvl w:val="0"/>
          <w:numId w:val="34"/>
        </w:numPr>
        <w:spacing w:after="120"/>
        <w:rPr>
          <w:rFonts w:asciiTheme="minorHAnsi" w:hAnsiTheme="minorHAnsi"/>
          <w:lang w:val="es-MX"/>
        </w:rPr>
      </w:pPr>
      <w:r w:rsidRPr="00D2098A">
        <w:rPr>
          <w:rFonts w:asciiTheme="minorHAnsi" w:hAnsiTheme="minorHAnsi"/>
          <w:lang w:val="es-MX"/>
        </w:rPr>
        <w:t>Informe anual 2013</w:t>
      </w:r>
      <w:r w:rsidR="00545E8F" w:rsidRPr="00D2098A">
        <w:rPr>
          <w:rFonts w:asciiTheme="minorHAnsi" w:hAnsiTheme="minorHAnsi"/>
          <w:lang w:val="es-MX"/>
        </w:rPr>
        <w:t xml:space="preserve"> de </w:t>
      </w:r>
      <w:r w:rsidR="00E6746C" w:rsidRPr="00D2098A">
        <w:rPr>
          <w:rFonts w:asciiTheme="minorHAnsi" w:hAnsiTheme="minorHAnsi"/>
          <w:lang w:val="es-MX"/>
        </w:rPr>
        <w:t xml:space="preserve">las </w:t>
      </w:r>
      <w:r w:rsidR="00545E8F" w:rsidRPr="00D2098A">
        <w:rPr>
          <w:rFonts w:asciiTheme="minorHAnsi" w:hAnsiTheme="minorHAnsi"/>
          <w:lang w:val="es-MX"/>
        </w:rPr>
        <w:t>solicitudes de información pública y de datos personales (</w:t>
      </w:r>
      <w:r w:rsidR="008C733A" w:rsidRPr="00D2098A">
        <w:rPr>
          <w:rFonts w:asciiTheme="minorHAnsi" w:hAnsiTheme="minorHAnsi"/>
          <w:lang w:val="es-MX"/>
        </w:rPr>
        <w:t xml:space="preserve">envío mediante oficio y con las firmas correspondientes del </w:t>
      </w:r>
      <w:r w:rsidR="00D72AF3" w:rsidRPr="00D2098A">
        <w:rPr>
          <w:rFonts w:asciiTheme="minorHAnsi" w:hAnsiTheme="minorHAnsi"/>
          <w:lang w:val="es-MX"/>
        </w:rPr>
        <w:t xml:space="preserve">Resumen </w:t>
      </w:r>
      <w:r w:rsidR="00545E8F" w:rsidRPr="00D2098A">
        <w:rPr>
          <w:rFonts w:asciiTheme="minorHAnsi" w:hAnsiTheme="minorHAnsi"/>
          <w:lang w:val="es-MX"/>
        </w:rPr>
        <w:t>Ejecutivo</w:t>
      </w:r>
      <w:r w:rsidR="00F836FC" w:rsidRPr="00D2098A">
        <w:rPr>
          <w:rFonts w:asciiTheme="minorHAnsi" w:hAnsiTheme="minorHAnsi"/>
          <w:lang w:val="es-MX"/>
        </w:rPr>
        <w:t xml:space="preserve"> generado por el SICRESI</w:t>
      </w:r>
      <w:r w:rsidR="00545E8F" w:rsidRPr="00D2098A">
        <w:rPr>
          <w:rFonts w:asciiTheme="minorHAnsi" w:hAnsiTheme="minorHAnsi"/>
          <w:lang w:val="es-MX"/>
        </w:rPr>
        <w:t>).</w:t>
      </w:r>
    </w:p>
    <w:p w14:paraId="1CE75A3B" w14:textId="77777777" w:rsidR="00F76859" w:rsidRPr="00D2098A" w:rsidRDefault="00E67007" w:rsidP="00F76859">
      <w:pPr>
        <w:pStyle w:val="Prrafodelista"/>
        <w:numPr>
          <w:ilvl w:val="0"/>
          <w:numId w:val="34"/>
        </w:numPr>
        <w:spacing w:after="120"/>
        <w:rPr>
          <w:rFonts w:asciiTheme="minorHAnsi" w:hAnsiTheme="minorHAnsi"/>
          <w:lang w:val="es-MX"/>
        </w:rPr>
      </w:pPr>
      <w:r w:rsidRPr="00D2098A">
        <w:rPr>
          <w:rFonts w:asciiTheme="minorHAnsi" w:hAnsiTheme="minorHAnsi"/>
          <w:lang w:val="es-MX"/>
        </w:rPr>
        <w:t>Informe</w:t>
      </w:r>
      <w:r w:rsidR="00545E8F" w:rsidRPr="00D2098A">
        <w:rPr>
          <w:rFonts w:asciiTheme="minorHAnsi" w:hAnsiTheme="minorHAnsi"/>
          <w:lang w:val="es-MX"/>
        </w:rPr>
        <w:t xml:space="preserve"> del</w:t>
      </w:r>
      <w:r w:rsidRPr="00D2098A">
        <w:rPr>
          <w:rFonts w:asciiTheme="minorHAnsi" w:hAnsiTheme="minorHAnsi"/>
          <w:lang w:val="es-MX"/>
        </w:rPr>
        <w:t xml:space="preserve"> 1</w:t>
      </w:r>
      <w:r w:rsidR="009775AC" w:rsidRPr="00D2098A">
        <w:rPr>
          <w:rFonts w:asciiTheme="minorHAnsi" w:hAnsiTheme="minorHAnsi"/>
          <w:lang w:val="es-MX"/>
        </w:rPr>
        <w:t>er.</w:t>
      </w:r>
      <w:r w:rsidRPr="00D2098A">
        <w:rPr>
          <w:rFonts w:asciiTheme="minorHAnsi" w:hAnsiTheme="minorHAnsi"/>
          <w:lang w:val="es-MX"/>
        </w:rPr>
        <w:t xml:space="preserve"> </w:t>
      </w:r>
      <w:r w:rsidR="00545E8F" w:rsidRPr="00D2098A">
        <w:rPr>
          <w:rFonts w:asciiTheme="minorHAnsi" w:hAnsiTheme="minorHAnsi"/>
          <w:lang w:val="es-MX"/>
        </w:rPr>
        <w:t>t</w:t>
      </w:r>
      <w:r w:rsidRPr="00D2098A">
        <w:rPr>
          <w:rFonts w:asciiTheme="minorHAnsi" w:hAnsiTheme="minorHAnsi"/>
          <w:lang w:val="es-MX"/>
        </w:rPr>
        <w:t>rimestre de 201</w:t>
      </w:r>
      <w:r w:rsidR="00483F2B" w:rsidRPr="00D2098A">
        <w:rPr>
          <w:rFonts w:asciiTheme="minorHAnsi" w:hAnsiTheme="minorHAnsi"/>
          <w:lang w:val="es-MX"/>
        </w:rPr>
        <w:t>4</w:t>
      </w:r>
      <w:r w:rsidRPr="00D2098A">
        <w:rPr>
          <w:rFonts w:asciiTheme="minorHAnsi" w:hAnsiTheme="minorHAnsi"/>
          <w:lang w:val="es-MX"/>
        </w:rPr>
        <w:t xml:space="preserve"> de </w:t>
      </w:r>
      <w:r w:rsidR="00E6746C" w:rsidRPr="00D2098A">
        <w:rPr>
          <w:rFonts w:asciiTheme="minorHAnsi" w:hAnsiTheme="minorHAnsi"/>
          <w:lang w:val="es-MX"/>
        </w:rPr>
        <w:t xml:space="preserve">las </w:t>
      </w:r>
      <w:r w:rsidRPr="00D2098A">
        <w:rPr>
          <w:rFonts w:asciiTheme="minorHAnsi" w:hAnsiTheme="minorHAnsi"/>
          <w:lang w:val="es-MX"/>
        </w:rPr>
        <w:t>solicitudes de información pública y de datos personales</w:t>
      </w:r>
      <w:r w:rsidR="003B56A8" w:rsidRPr="00D2098A">
        <w:rPr>
          <w:rFonts w:asciiTheme="minorHAnsi" w:hAnsiTheme="minorHAnsi"/>
          <w:lang w:val="es-MX"/>
        </w:rPr>
        <w:t>.</w:t>
      </w:r>
      <w:r w:rsidR="00F76859" w:rsidRPr="00D2098A">
        <w:rPr>
          <w:rFonts w:asciiTheme="minorHAnsi" w:hAnsiTheme="minorHAnsi"/>
          <w:lang w:val="es-MX"/>
        </w:rPr>
        <w:t xml:space="preserve"> (</w:t>
      </w:r>
      <w:r w:rsidR="00545E8F" w:rsidRPr="00D2098A">
        <w:rPr>
          <w:rFonts w:asciiTheme="minorHAnsi" w:hAnsiTheme="minorHAnsi"/>
          <w:lang w:val="es-MX"/>
        </w:rPr>
        <w:t>c</w:t>
      </w:r>
      <w:r w:rsidR="00F76859" w:rsidRPr="00D2098A">
        <w:rPr>
          <w:rFonts w:asciiTheme="minorHAnsi" w:hAnsiTheme="minorHAnsi"/>
          <w:lang w:val="es-MX"/>
        </w:rPr>
        <w:t>aptura en el SICRESI)</w:t>
      </w:r>
      <w:r w:rsidR="00545E8F" w:rsidRPr="00D2098A">
        <w:rPr>
          <w:rFonts w:asciiTheme="minorHAnsi" w:hAnsiTheme="minorHAnsi"/>
          <w:lang w:val="es-MX"/>
        </w:rPr>
        <w:t>.</w:t>
      </w:r>
    </w:p>
    <w:p w14:paraId="727D4812" w14:textId="77777777" w:rsidR="00F76859" w:rsidRPr="00D2098A" w:rsidRDefault="00F76859" w:rsidP="00F76859">
      <w:pPr>
        <w:pStyle w:val="Prrafodelista"/>
        <w:numPr>
          <w:ilvl w:val="0"/>
          <w:numId w:val="34"/>
        </w:numPr>
        <w:spacing w:after="120"/>
        <w:rPr>
          <w:rFonts w:asciiTheme="minorHAnsi" w:hAnsiTheme="minorHAnsi"/>
          <w:lang w:val="es-MX"/>
        </w:rPr>
      </w:pPr>
      <w:r w:rsidRPr="00D2098A">
        <w:rPr>
          <w:rFonts w:asciiTheme="minorHAnsi" w:hAnsiTheme="minorHAnsi"/>
          <w:lang w:val="es-MX"/>
        </w:rPr>
        <w:t>Informe</w:t>
      </w:r>
      <w:r w:rsidR="00545E8F" w:rsidRPr="00D2098A">
        <w:rPr>
          <w:rFonts w:asciiTheme="minorHAnsi" w:hAnsiTheme="minorHAnsi"/>
          <w:lang w:val="es-MX"/>
        </w:rPr>
        <w:t xml:space="preserve"> del </w:t>
      </w:r>
      <w:r w:rsidRPr="00D2098A">
        <w:rPr>
          <w:rFonts w:asciiTheme="minorHAnsi" w:hAnsiTheme="minorHAnsi"/>
          <w:lang w:val="es-MX"/>
        </w:rPr>
        <w:t>1</w:t>
      </w:r>
      <w:r w:rsidR="009775AC" w:rsidRPr="00D2098A">
        <w:rPr>
          <w:rFonts w:asciiTheme="minorHAnsi" w:hAnsiTheme="minorHAnsi"/>
          <w:lang w:val="es-MX"/>
        </w:rPr>
        <w:t>er.</w:t>
      </w:r>
      <w:r w:rsidRPr="00D2098A">
        <w:rPr>
          <w:rFonts w:asciiTheme="minorHAnsi" w:hAnsiTheme="minorHAnsi"/>
          <w:lang w:val="es-MX"/>
        </w:rPr>
        <w:t xml:space="preserve"> </w:t>
      </w:r>
      <w:r w:rsidR="00545E8F" w:rsidRPr="00D2098A">
        <w:rPr>
          <w:rFonts w:asciiTheme="minorHAnsi" w:hAnsiTheme="minorHAnsi"/>
          <w:lang w:val="es-MX"/>
        </w:rPr>
        <w:t>t</w:t>
      </w:r>
      <w:r w:rsidRPr="00D2098A">
        <w:rPr>
          <w:rFonts w:asciiTheme="minorHAnsi" w:hAnsiTheme="minorHAnsi"/>
          <w:lang w:val="es-MX"/>
        </w:rPr>
        <w:t>rimestre de 201</w:t>
      </w:r>
      <w:r w:rsidR="00483F2B" w:rsidRPr="00D2098A">
        <w:rPr>
          <w:rFonts w:asciiTheme="minorHAnsi" w:hAnsiTheme="minorHAnsi"/>
          <w:lang w:val="es-MX"/>
        </w:rPr>
        <w:t>4</w:t>
      </w:r>
      <w:r w:rsidRPr="00D2098A">
        <w:rPr>
          <w:rFonts w:asciiTheme="minorHAnsi" w:hAnsiTheme="minorHAnsi"/>
          <w:lang w:val="es-MX"/>
        </w:rPr>
        <w:t xml:space="preserve"> de </w:t>
      </w:r>
      <w:r w:rsidR="00E6746C" w:rsidRPr="00D2098A">
        <w:rPr>
          <w:rFonts w:asciiTheme="minorHAnsi" w:hAnsiTheme="minorHAnsi"/>
          <w:lang w:val="es-MX"/>
        </w:rPr>
        <w:t xml:space="preserve">las </w:t>
      </w:r>
      <w:r w:rsidRPr="00D2098A">
        <w:rPr>
          <w:rFonts w:asciiTheme="minorHAnsi" w:hAnsiTheme="minorHAnsi"/>
          <w:lang w:val="es-MX"/>
        </w:rPr>
        <w:t>solicitudes de información pública y de datos personales. (</w:t>
      </w:r>
      <w:r w:rsidR="008C733A" w:rsidRPr="00D2098A">
        <w:rPr>
          <w:rFonts w:asciiTheme="minorHAnsi" w:hAnsiTheme="minorHAnsi"/>
          <w:lang w:val="es-MX"/>
        </w:rPr>
        <w:t>envío mediante oficio y con las firmas correspondientes del Resumen Ejecutivo generado por el SICRESI</w:t>
      </w:r>
      <w:r w:rsidRPr="00D2098A">
        <w:rPr>
          <w:rFonts w:asciiTheme="minorHAnsi" w:hAnsiTheme="minorHAnsi"/>
          <w:lang w:val="es-MX"/>
        </w:rPr>
        <w:t>)</w:t>
      </w:r>
      <w:r w:rsidR="00545E8F" w:rsidRPr="00D2098A">
        <w:rPr>
          <w:rFonts w:asciiTheme="minorHAnsi" w:hAnsiTheme="minorHAnsi"/>
          <w:lang w:val="es-MX"/>
        </w:rPr>
        <w:t>.</w:t>
      </w:r>
    </w:p>
    <w:p w14:paraId="4B42D50C" w14:textId="77777777" w:rsidR="00F76859" w:rsidRPr="00D2098A" w:rsidRDefault="00F76859" w:rsidP="00F76859">
      <w:pPr>
        <w:pStyle w:val="Prrafodelista"/>
        <w:numPr>
          <w:ilvl w:val="0"/>
          <w:numId w:val="34"/>
        </w:numPr>
        <w:spacing w:after="120"/>
        <w:rPr>
          <w:rFonts w:asciiTheme="minorHAnsi" w:hAnsiTheme="minorHAnsi"/>
          <w:lang w:val="es-MX"/>
        </w:rPr>
      </w:pPr>
      <w:r w:rsidRPr="00D2098A">
        <w:rPr>
          <w:rFonts w:asciiTheme="minorHAnsi" w:hAnsiTheme="minorHAnsi"/>
          <w:lang w:val="es-MX"/>
        </w:rPr>
        <w:t xml:space="preserve">Informe </w:t>
      </w:r>
      <w:r w:rsidR="00545E8F" w:rsidRPr="00D2098A">
        <w:rPr>
          <w:rFonts w:asciiTheme="minorHAnsi" w:hAnsiTheme="minorHAnsi"/>
          <w:lang w:val="es-MX"/>
        </w:rPr>
        <w:t xml:space="preserve">del </w:t>
      </w:r>
      <w:r w:rsidRPr="00D2098A">
        <w:rPr>
          <w:rFonts w:asciiTheme="minorHAnsi" w:hAnsiTheme="minorHAnsi"/>
          <w:lang w:val="es-MX"/>
        </w:rPr>
        <w:t xml:space="preserve">2° </w:t>
      </w:r>
      <w:r w:rsidR="00545E8F" w:rsidRPr="00D2098A">
        <w:rPr>
          <w:rFonts w:asciiTheme="minorHAnsi" w:hAnsiTheme="minorHAnsi"/>
          <w:lang w:val="es-MX"/>
        </w:rPr>
        <w:t>t</w:t>
      </w:r>
      <w:r w:rsidRPr="00D2098A">
        <w:rPr>
          <w:rFonts w:asciiTheme="minorHAnsi" w:hAnsiTheme="minorHAnsi"/>
          <w:lang w:val="es-MX"/>
        </w:rPr>
        <w:t>rimestre de 201</w:t>
      </w:r>
      <w:r w:rsidR="00483F2B" w:rsidRPr="00D2098A">
        <w:rPr>
          <w:rFonts w:asciiTheme="minorHAnsi" w:hAnsiTheme="minorHAnsi"/>
          <w:lang w:val="es-MX"/>
        </w:rPr>
        <w:t>4</w:t>
      </w:r>
      <w:r w:rsidRPr="00D2098A">
        <w:rPr>
          <w:rFonts w:asciiTheme="minorHAnsi" w:hAnsiTheme="minorHAnsi"/>
          <w:lang w:val="es-MX"/>
        </w:rPr>
        <w:t xml:space="preserve"> de </w:t>
      </w:r>
      <w:r w:rsidR="00E6746C" w:rsidRPr="00D2098A">
        <w:rPr>
          <w:rFonts w:asciiTheme="minorHAnsi" w:hAnsiTheme="minorHAnsi"/>
          <w:lang w:val="es-MX"/>
        </w:rPr>
        <w:t xml:space="preserve">las </w:t>
      </w:r>
      <w:r w:rsidRPr="00D2098A">
        <w:rPr>
          <w:rFonts w:asciiTheme="minorHAnsi" w:hAnsiTheme="minorHAnsi"/>
          <w:lang w:val="es-MX"/>
        </w:rPr>
        <w:t>solicitudes de información pública y de datos personales. (</w:t>
      </w:r>
      <w:r w:rsidR="00545E8F" w:rsidRPr="00D2098A">
        <w:rPr>
          <w:rFonts w:asciiTheme="minorHAnsi" w:hAnsiTheme="minorHAnsi"/>
          <w:lang w:val="es-MX"/>
        </w:rPr>
        <w:t>c</w:t>
      </w:r>
      <w:r w:rsidRPr="00D2098A">
        <w:rPr>
          <w:rFonts w:asciiTheme="minorHAnsi" w:hAnsiTheme="minorHAnsi"/>
          <w:lang w:val="es-MX"/>
        </w:rPr>
        <w:t>aptura en el SICRESI)</w:t>
      </w:r>
      <w:r w:rsidR="00545E8F" w:rsidRPr="00D2098A">
        <w:rPr>
          <w:rFonts w:asciiTheme="minorHAnsi" w:hAnsiTheme="minorHAnsi"/>
          <w:lang w:val="es-MX"/>
        </w:rPr>
        <w:t>.</w:t>
      </w:r>
    </w:p>
    <w:p w14:paraId="5DF40699" w14:textId="77777777" w:rsidR="00F76859" w:rsidRPr="00D2098A" w:rsidRDefault="00F76859" w:rsidP="00F76859">
      <w:pPr>
        <w:pStyle w:val="Prrafodelista"/>
        <w:numPr>
          <w:ilvl w:val="0"/>
          <w:numId w:val="34"/>
        </w:numPr>
        <w:spacing w:after="120"/>
        <w:rPr>
          <w:rFonts w:asciiTheme="minorHAnsi" w:hAnsiTheme="minorHAnsi"/>
          <w:lang w:val="es-MX"/>
        </w:rPr>
      </w:pPr>
      <w:r w:rsidRPr="00D2098A">
        <w:rPr>
          <w:rFonts w:asciiTheme="minorHAnsi" w:hAnsiTheme="minorHAnsi"/>
          <w:lang w:val="es-MX"/>
        </w:rPr>
        <w:t xml:space="preserve">Informe </w:t>
      </w:r>
      <w:r w:rsidR="00545E8F" w:rsidRPr="00D2098A">
        <w:rPr>
          <w:rFonts w:asciiTheme="minorHAnsi" w:hAnsiTheme="minorHAnsi"/>
          <w:lang w:val="es-MX"/>
        </w:rPr>
        <w:t xml:space="preserve">del </w:t>
      </w:r>
      <w:r w:rsidRPr="00D2098A">
        <w:rPr>
          <w:rFonts w:asciiTheme="minorHAnsi" w:hAnsiTheme="minorHAnsi"/>
          <w:lang w:val="es-MX"/>
        </w:rPr>
        <w:t xml:space="preserve">2° </w:t>
      </w:r>
      <w:r w:rsidR="00545E8F" w:rsidRPr="00D2098A">
        <w:rPr>
          <w:rFonts w:asciiTheme="minorHAnsi" w:hAnsiTheme="minorHAnsi"/>
          <w:lang w:val="es-MX"/>
        </w:rPr>
        <w:t>t</w:t>
      </w:r>
      <w:r w:rsidRPr="00D2098A">
        <w:rPr>
          <w:rFonts w:asciiTheme="minorHAnsi" w:hAnsiTheme="minorHAnsi"/>
          <w:lang w:val="es-MX"/>
        </w:rPr>
        <w:t>rimestre de 201</w:t>
      </w:r>
      <w:r w:rsidR="00483F2B" w:rsidRPr="00D2098A">
        <w:rPr>
          <w:rFonts w:asciiTheme="minorHAnsi" w:hAnsiTheme="minorHAnsi"/>
          <w:lang w:val="es-MX"/>
        </w:rPr>
        <w:t>4</w:t>
      </w:r>
      <w:r w:rsidRPr="00D2098A">
        <w:rPr>
          <w:rFonts w:asciiTheme="minorHAnsi" w:hAnsiTheme="minorHAnsi"/>
          <w:lang w:val="es-MX"/>
        </w:rPr>
        <w:t xml:space="preserve"> de </w:t>
      </w:r>
      <w:r w:rsidR="00E6746C" w:rsidRPr="00D2098A">
        <w:rPr>
          <w:rFonts w:asciiTheme="minorHAnsi" w:hAnsiTheme="minorHAnsi"/>
          <w:lang w:val="es-MX"/>
        </w:rPr>
        <w:t xml:space="preserve">las </w:t>
      </w:r>
      <w:r w:rsidRPr="00D2098A">
        <w:rPr>
          <w:rFonts w:asciiTheme="minorHAnsi" w:hAnsiTheme="minorHAnsi"/>
          <w:lang w:val="es-MX"/>
        </w:rPr>
        <w:t>solicitudes de información pública y de datos personales. (</w:t>
      </w:r>
      <w:r w:rsidR="008C733A" w:rsidRPr="00D2098A">
        <w:rPr>
          <w:rFonts w:asciiTheme="minorHAnsi" w:hAnsiTheme="minorHAnsi"/>
          <w:lang w:val="es-MX"/>
        </w:rPr>
        <w:t>envío mediante oficio y con las firmas correspondientes del Resumen Ejecutivo generado por el SICRESI</w:t>
      </w:r>
      <w:r w:rsidRPr="00D2098A">
        <w:rPr>
          <w:rFonts w:asciiTheme="minorHAnsi" w:hAnsiTheme="minorHAnsi"/>
          <w:lang w:val="es-MX"/>
        </w:rPr>
        <w:t>)</w:t>
      </w:r>
      <w:r w:rsidR="00545E8F" w:rsidRPr="00D2098A">
        <w:rPr>
          <w:rFonts w:asciiTheme="minorHAnsi" w:hAnsiTheme="minorHAnsi"/>
          <w:lang w:val="es-MX"/>
        </w:rPr>
        <w:t>.</w:t>
      </w:r>
    </w:p>
    <w:p w14:paraId="75AE023B" w14:textId="77777777" w:rsidR="00F76859" w:rsidRPr="00D2098A" w:rsidRDefault="00F76859" w:rsidP="00F76859">
      <w:pPr>
        <w:pStyle w:val="Prrafodelista"/>
        <w:numPr>
          <w:ilvl w:val="0"/>
          <w:numId w:val="34"/>
        </w:numPr>
        <w:spacing w:after="120"/>
        <w:rPr>
          <w:rFonts w:asciiTheme="minorHAnsi" w:hAnsiTheme="minorHAnsi"/>
          <w:lang w:val="es-MX"/>
        </w:rPr>
      </w:pPr>
      <w:r w:rsidRPr="00D2098A">
        <w:rPr>
          <w:rFonts w:asciiTheme="minorHAnsi" w:hAnsiTheme="minorHAnsi"/>
          <w:lang w:val="es-MX"/>
        </w:rPr>
        <w:t xml:space="preserve">Informe </w:t>
      </w:r>
      <w:r w:rsidR="00545E8F" w:rsidRPr="00D2098A">
        <w:rPr>
          <w:rFonts w:asciiTheme="minorHAnsi" w:hAnsiTheme="minorHAnsi"/>
          <w:lang w:val="es-MX"/>
        </w:rPr>
        <w:t xml:space="preserve">del </w:t>
      </w:r>
      <w:r w:rsidRPr="00D2098A">
        <w:rPr>
          <w:rFonts w:asciiTheme="minorHAnsi" w:hAnsiTheme="minorHAnsi"/>
          <w:lang w:val="es-MX"/>
        </w:rPr>
        <w:t xml:space="preserve">3° </w:t>
      </w:r>
      <w:r w:rsidR="00545E8F" w:rsidRPr="00D2098A">
        <w:rPr>
          <w:rFonts w:asciiTheme="minorHAnsi" w:hAnsiTheme="minorHAnsi"/>
          <w:lang w:val="es-MX"/>
        </w:rPr>
        <w:t>t</w:t>
      </w:r>
      <w:r w:rsidRPr="00D2098A">
        <w:rPr>
          <w:rFonts w:asciiTheme="minorHAnsi" w:hAnsiTheme="minorHAnsi"/>
          <w:lang w:val="es-MX"/>
        </w:rPr>
        <w:t>rimestre de 201</w:t>
      </w:r>
      <w:r w:rsidR="00483F2B" w:rsidRPr="00D2098A">
        <w:rPr>
          <w:rFonts w:asciiTheme="minorHAnsi" w:hAnsiTheme="minorHAnsi"/>
          <w:lang w:val="es-MX"/>
        </w:rPr>
        <w:t>4</w:t>
      </w:r>
      <w:r w:rsidRPr="00D2098A">
        <w:rPr>
          <w:rFonts w:asciiTheme="minorHAnsi" w:hAnsiTheme="minorHAnsi"/>
          <w:lang w:val="es-MX"/>
        </w:rPr>
        <w:t xml:space="preserve"> de </w:t>
      </w:r>
      <w:r w:rsidR="00E6746C" w:rsidRPr="00D2098A">
        <w:rPr>
          <w:rFonts w:asciiTheme="minorHAnsi" w:hAnsiTheme="minorHAnsi"/>
          <w:lang w:val="es-MX"/>
        </w:rPr>
        <w:t xml:space="preserve">las </w:t>
      </w:r>
      <w:r w:rsidRPr="00D2098A">
        <w:rPr>
          <w:rFonts w:asciiTheme="minorHAnsi" w:hAnsiTheme="minorHAnsi"/>
          <w:lang w:val="es-MX"/>
        </w:rPr>
        <w:t>solicitudes de información pública y de datos personales. (</w:t>
      </w:r>
      <w:r w:rsidR="00545E8F" w:rsidRPr="00D2098A">
        <w:rPr>
          <w:rFonts w:asciiTheme="minorHAnsi" w:hAnsiTheme="minorHAnsi"/>
          <w:lang w:val="es-MX"/>
        </w:rPr>
        <w:t>c</w:t>
      </w:r>
      <w:r w:rsidRPr="00D2098A">
        <w:rPr>
          <w:rFonts w:asciiTheme="minorHAnsi" w:hAnsiTheme="minorHAnsi"/>
          <w:lang w:val="es-MX"/>
        </w:rPr>
        <w:t>aptura en el SICRESI)</w:t>
      </w:r>
      <w:r w:rsidR="00545E8F" w:rsidRPr="00D2098A">
        <w:rPr>
          <w:rFonts w:asciiTheme="minorHAnsi" w:hAnsiTheme="minorHAnsi"/>
          <w:lang w:val="es-MX"/>
        </w:rPr>
        <w:t>.</w:t>
      </w:r>
    </w:p>
    <w:p w14:paraId="2F988BCB" w14:textId="77777777" w:rsidR="00F76859" w:rsidRPr="00D2098A" w:rsidRDefault="00F76859" w:rsidP="00F76859">
      <w:pPr>
        <w:pStyle w:val="Prrafodelista"/>
        <w:numPr>
          <w:ilvl w:val="0"/>
          <w:numId w:val="34"/>
        </w:numPr>
        <w:spacing w:after="120"/>
        <w:rPr>
          <w:rFonts w:asciiTheme="minorHAnsi" w:hAnsiTheme="minorHAnsi"/>
          <w:lang w:val="es-MX"/>
        </w:rPr>
      </w:pPr>
      <w:r w:rsidRPr="00D2098A">
        <w:rPr>
          <w:rFonts w:asciiTheme="minorHAnsi" w:hAnsiTheme="minorHAnsi"/>
          <w:lang w:val="es-MX"/>
        </w:rPr>
        <w:t xml:space="preserve">Informe </w:t>
      </w:r>
      <w:r w:rsidR="00545E8F" w:rsidRPr="00D2098A">
        <w:rPr>
          <w:rFonts w:asciiTheme="minorHAnsi" w:hAnsiTheme="minorHAnsi"/>
          <w:lang w:val="es-MX"/>
        </w:rPr>
        <w:t xml:space="preserve">del </w:t>
      </w:r>
      <w:r w:rsidRPr="00D2098A">
        <w:rPr>
          <w:rFonts w:asciiTheme="minorHAnsi" w:hAnsiTheme="minorHAnsi"/>
          <w:lang w:val="es-MX"/>
        </w:rPr>
        <w:t xml:space="preserve">3° </w:t>
      </w:r>
      <w:r w:rsidR="00545E8F" w:rsidRPr="00D2098A">
        <w:rPr>
          <w:rFonts w:asciiTheme="minorHAnsi" w:hAnsiTheme="minorHAnsi"/>
          <w:lang w:val="es-MX"/>
        </w:rPr>
        <w:t>t</w:t>
      </w:r>
      <w:r w:rsidRPr="00D2098A">
        <w:rPr>
          <w:rFonts w:asciiTheme="minorHAnsi" w:hAnsiTheme="minorHAnsi"/>
          <w:lang w:val="es-MX"/>
        </w:rPr>
        <w:t>rimestre de 201</w:t>
      </w:r>
      <w:r w:rsidR="00483F2B" w:rsidRPr="00D2098A">
        <w:rPr>
          <w:rFonts w:asciiTheme="minorHAnsi" w:hAnsiTheme="minorHAnsi"/>
          <w:lang w:val="es-MX"/>
        </w:rPr>
        <w:t>4</w:t>
      </w:r>
      <w:r w:rsidRPr="00D2098A">
        <w:rPr>
          <w:rFonts w:asciiTheme="minorHAnsi" w:hAnsiTheme="minorHAnsi"/>
          <w:lang w:val="es-MX"/>
        </w:rPr>
        <w:t xml:space="preserve"> de </w:t>
      </w:r>
      <w:r w:rsidR="00E6746C" w:rsidRPr="00D2098A">
        <w:rPr>
          <w:rFonts w:asciiTheme="minorHAnsi" w:hAnsiTheme="minorHAnsi"/>
          <w:lang w:val="es-MX"/>
        </w:rPr>
        <w:t xml:space="preserve">las </w:t>
      </w:r>
      <w:r w:rsidRPr="00D2098A">
        <w:rPr>
          <w:rFonts w:asciiTheme="minorHAnsi" w:hAnsiTheme="minorHAnsi"/>
          <w:lang w:val="es-MX"/>
        </w:rPr>
        <w:t>solicitudes de información pública y de datos personales. (</w:t>
      </w:r>
      <w:r w:rsidR="008C733A" w:rsidRPr="00D2098A">
        <w:rPr>
          <w:rFonts w:asciiTheme="minorHAnsi" w:hAnsiTheme="minorHAnsi"/>
          <w:lang w:val="es-MX"/>
        </w:rPr>
        <w:t>envío mediante oficio y con las firmas correspondientes del Resumen Ejecutivo generado por el SICRESI</w:t>
      </w:r>
      <w:r w:rsidRPr="00D2098A">
        <w:rPr>
          <w:rFonts w:asciiTheme="minorHAnsi" w:hAnsiTheme="minorHAnsi"/>
          <w:lang w:val="es-MX"/>
        </w:rPr>
        <w:t>)</w:t>
      </w:r>
      <w:r w:rsidR="00545E8F" w:rsidRPr="00D2098A">
        <w:rPr>
          <w:rFonts w:asciiTheme="minorHAnsi" w:hAnsiTheme="minorHAnsi"/>
          <w:lang w:val="es-MX"/>
        </w:rPr>
        <w:t>.</w:t>
      </w:r>
    </w:p>
    <w:p w14:paraId="0A37B60D" w14:textId="04931601" w:rsidR="00545E8F" w:rsidRPr="00D2098A" w:rsidRDefault="00545E8F" w:rsidP="00545E8F">
      <w:pPr>
        <w:pStyle w:val="Prrafodelista"/>
        <w:numPr>
          <w:ilvl w:val="0"/>
          <w:numId w:val="34"/>
        </w:numPr>
        <w:spacing w:after="120"/>
        <w:rPr>
          <w:rFonts w:asciiTheme="minorHAnsi" w:hAnsiTheme="minorHAnsi"/>
          <w:lang w:val="es-MX"/>
        </w:rPr>
      </w:pPr>
      <w:r w:rsidRPr="00D2098A">
        <w:rPr>
          <w:rFonts w:asciiTheme="minorHAnsi" w:hAnsiTheme="minorHAnsi"/>
          <w:lang w:val="es-MX"/>
        </w:rPr>
        <w:t>Informe ejecutivo sobre los Comités de Transparencia</w:t>
      </w:r>
      <w:r w:rsidR="004E7B06" w:rsidRPr="00D2098A">
        <w:rPr>
          <w:rFonts w:asciiTheme="minorHAnsi" w:hAnsiTheme="minorHAnsi"/>
          <w:lang w:val="es-MX"/>
        </w:rPr>
        <w:t xml:space="preserve">, correspondiente al ejercicio </w:t>
      </w:r>
      <w:r w:rsidR="00483F2B" w:rsidRPr="00D2098A">
        <w:rPr>
          <w:rFonts w:asciiTheme="minorHAnsi" w:hAnsiTheme="minorHAnsi"/>
          <w:lang w:val="es-MX"/>
        </w:rPr>
        <w:t>2013</w:t>
      </w:r>
      <w:r w:rsidR="004E7B06" w:rsidRPr="00D2098A">
        <w:rPr>
          <w:rFonts w:asciiTheme="minorHAnsi" w:hAnsiTheme="minorHAnsi"/>
          <w:lang w:val="es-MX"/>
        </w:rPr>
        <w:t xml:space="preserve"> (envío electrónico</w:t>
      </w:r>
      <w:r w:rsidRPr="00D2098A">
        <w:rPr>
          <w:rFonts w:asciiTheme="minorHAnsi" w:hAnsiTheme="minorHAnsi"/>
          <w:lang w:val="es-MX"/>
        </w:rPr>
        <w:t>).</w:t>
      </w:r>
    </w:p>
    <w:p w14:paraId="125C5494" w14:textId="720CCAA7" w:rsidR="00A04F41" w:rsidRPr="00D2098A" w:rsidRDefault="00A04F41" w:rsidP="00A04F41">
      <w:pPr>
        <w:pStyle w:val="Prrafodelista"/>
        <w:numPr>
          <w:ilvl w:val="0"/>
          <w:numId w:val="34"/>
        </w:numPr>
        <w:spacing w:after="120"/>
        <w:rPr>
          <w:rFonts w:asciiTheme="minorHAnsi" w:hAnsiTheme="minorHAnsi"/>
          <w:lang w:val="es-MX"/>
        </w:rPr>
      </w:pPr>
      <w:r w:rsidRPr="00D2098A">
        <w:rPr>
          <w:rFonts w:asciiTheme="minorHAnsi" w:hAnsiTheme="minorHAnsi"/>
          <w:lang w:val="es-MX"/>
        </w:rPr>
        <w:t>Informe ejecutivo sobre los Comités de Transparencia, correspondiente al ejercicio 2013 (envío mediante oficio).</w:t>
      </w:r>
    </w:p>
    <w:p w14:paraId="164FD942" w14:textId="6D59A5FF" w:rsidR="00545E8F" w:rsidRPr="00D2098A" w:rsidRDefault="00545E8F" w:rsidP="00545E8F">
      <w:pPr>
        <w:pStyle w:val="Prrafodelista"/>
        <w:numPr>
          <w:ilvl w:val="0"/>
          <w:numId w:val="34"/>
        </w:numPr>
        <w:spacing w:after="120"/>
        <w:rPr>
          <w:rFonts w:asciiTheme="minorHAnsi" w:hAnsiTheme="minorHAnsi"/>
          <w:lang w:val="es-MX"/>
        </w:rPr>
      </w:pPr>
      <w:r w:rsidRPr="00D2098A">
        <w:rPr>
          <w:rFonts w:asciiTheme="minorHAnsi" w:hAnsiTheme="minorHAnsi"/>
          <w:lang w:val="es-MX"/>
        </w:rPr>
        <w:t>Informe ejecutivo sobre los Comités de Transparencia</w:t>
      </w:r>
      <w:r w:rsidR="004E7B06" w:rsidRPr="00D2098A">
        <w:rPr>
          <w:rFonts w:asciiTheme="minorHAnsi" w:hAnsiTheme="minorHAnsi"/>
          <w:lang w:val="es-MX"/>
        </w:rPr>
        <w:t xml:space="preserve">, correspondiente al </w:t>
      </w:r>
      <w:r w:rsidRPr="00D2098A">
        <w:rPr>
          <w:rFonts w:asciiTheme="minorHAnsi" w:hAnsiTheme="minorHAnsi"/>
          <w:lang w:val="es-MX"/>
        </w:rPr>
        <w:t xml:space="preserve">1er </w:t>
      </w:r>
      <w:r w:rsidR="004E7B06" w:rsidRPr="00D2098A">
        <w:rPr>
          <w:rFonts w:asciiTheme="minorHAnsi" w:hAnsiTheme="minorHAnsi"/>
          <w:lang w:val="es-MX"/>
        </w:rPr>
        <w:t>s</w:t>
      </w:r>
      <w:r w:rsidRPr="00D2098A">
        <w:rPr>
          <w:rFonts w:asciiTheme="minorHAnsi" w:hAnsiTheme="minorHAnsi"/>
          <w:lang w:val="es-MX"/>
        </w:rPr>
        <w:t xml:space="preserve">emestre </w:t>
      </w:r>
      <w:r w:rsidR="004E7B06" w:rsidRPr="00D2098A">
        <w:rPr>
          <w:rFonts w:asciiTheme="minorHAnsi" w:hAnsiTheme="minorHAnsi"/>
          <w:lang w:val="es-MX"/>
        </w:rPr>
        <w:t xml:space="preserve">de </w:t>
      </w:r>
      <w:r w:rsidR="00483F2B" w:rsidRPr="00D2098A">
        <w:rPr>
          <w:rFonts w:asciiTheme="minorHAnsi" w:hAnsiTheme="minorHAnsi"/>
          <w:lang w:val="es-MX"/>
        </w:rPr>
        <w:t>2014</w:t>
      </w:r>
      <w:r w:rsidR="004E7B06" w:rsidRPr="00D2098A">
        <w:rPr>
          <w:rFonts w:asciiTheme="minorHAnsi" w:hAnsiTheme="minorHAnsi"/>
          <w:lang w:val="es-MX"/>
        </w:rPr>
        <w:t xml:space="preserve"> (envío electrónico)</w:t>
      </w:r>
      <w:r w:rsidRPr="00D2098A">
        <w:rPr>
          <w:rFonts w:asciiTheme="minorHAnsi" w:hAnsiTheme="minorHAnsi"/>
          <w:lang w:val="es-MX"/>
        </w:rPr>
        <w:t>.</w:t>
      </w:r>
    </w:p>
    <w:p w14:paraId="4BF8B3D5" w14:textId="2D217004" w:rsidR="00A04F41" w:rsidRPr="00D2098A" w:rsidRDefault="00A04F41" w:rsidP="00A04F41">
      <w:pPr>
        <w:pStyle w:val="Prrafodelista"/>
        <w:numPr>
          <w:ilvl w:val="0"/>
          <w:numId w:val="34"/>
        </w:numPr>
        <w:spacing w:after="120"/>
        <w:rPr>
          <w:rFonts w:asciiTheme="minorHAnsi" w:hAnsiTheme="minorHAnsi"/>
          <w:lang w:val="es-MX"/>
        </w:rPr>
      </w:pPr>
      <w:r w:rsidRPr="00D2098A">
        <w:rPr>
          <w:rFonts w:asciiTheme="minorHAnsi" w:hAnsiTheme="minorHAnsi"/>
          <w:lang w:val="es-MX"/>
        </w:rPr>
        <w:t>Informe ejecutivo sobre los Comités de Transparencia, correspondiente al 1er semestre de 2014 (mediante oficio).</w:t>
      </w:r>
    </w:p>
    <w:p w14:paraId="18F8950A" w14:textId="77777777" w:rsidR="00017003" w:rsidRPr="00D2098A" w:rsidRDefault="00017003" w:rsidP="00285F19">
      <w:pPr>
        <w:pStyle w:val="Prrafodelista"/>
        <w:rPr>
          <w:rFonts w:asciiTheme="minorHAnsi" w:hAnsiTheme="minorHAnsi"/>
          <w:lang w:val="es-MX"/>
        </w:rPr>
      </w:pPr>
    </w:p>
    <w:p w14:paraId="2AA67B32" w14:textId="4C98A0AA" w:rsidR="00D50168" w:rsidRPr="00D2098A" w:rsidRDefault="00B55D39" w:rsidP="009714E3">
      <w:pPr>
        <w:rPr>
          <w:rFonts w:asciiTheme="minorHAnsi" w:hAnsiTheme="minorHAnsi"/>
          <w:lang w:val="es-MX"/>
        </w:rPr>
      </w:pPr>
      <w:r w:rsidRPr="00D2098A">
        <w:rPr>
          <w:rFonts w:asciiTheme="minorHAnsi" w:hAnsiTheme="minorHAnsi"/>
          <w:lang w:val="es-MX"/>
        </w:rPr>
        <w:t xml:space="preserve">A cada uno de estos </w:t>
      </w:r>
      <w:r w:rsidR="00A04F41" w:rsidRPr="00D2098A">
        <w:rPr>
          <w:rFonts w:asciiTheme="minorHAnsi" w:hAnsiTheme="minorHAnsi"/>
          <w:lang w:val="es-MX"/>
        </w:rPr>
        <w:t>12</w:t>
      </w:r>
      <w:r w:rsidR="009831CE" w:rsidRPr="00D2098A">
        <w:rPr>
          <w:rFonts w:asciiTheme="minorHAnsi" w:hAnsiTheme="minorHAnsi"/>
          <w:lang w:val="es-MX"/>
        </w:rPr>
        <w:t xml:space="preserve"> </w:t>
      </w:r>
      <w:r w:rsidR="00605965" w:rsidRPr="00D2098A">
        <w:rPr>
          <w:rFonts w:asciiTheme="minorHAnsi" w:hAnsiTheme="minorHAnsi"/>
          <w:lang w:val="es-MX"/>
        </w:rPr>
        <w:t>incisos</w:t>
      </w:r>
      <w:r w:rsidR="00012492" w:rsidRPr="00D2098A">
        <w:rPr>
          <w:rFonts w:asciiTheme="minorHAnsi" w:hAnsiTheme="minorHAnsi"/>
          <w:lang w:val="es-MX"/>
        </w:rPr>
        <w:t xml:space="preserve"> se les otorg</w:t>
      </w:r>
      <w:r w:rsidRPr="00D2098A">
        <w:rPr>
          <w:rFonts w:asciiTheme="minorHAnsi" w:hAnsiTheme="minorHAnsi"/>
          <w:lang w:val="es-MX"/>
        </w:rPr>
        <w:t xml:space="preserve">ará </w:t>
      </w:r>
      <w:r w:rsidR="00012492" w:rsidRPr="00D2098A">
        <w:rPr>
          <w:rFonts w:asciiTheme="minorHAnsi" w:hAnsiTheme="minorHAnsi"/>
          <w:lang w:val="es-MX"/>
        </w:rPr>
        <w:t>una ponderación de un</w:t>
      </w:r>
      <w:r w:rsidR="00F76859" w:rsidRPr="00D2098A">
        <w:rPr>
          <w:rFonts w:asciiTheme="minorHAnsi" w:hAnsiTheme="minorHAnsi"/>
          <w:lang w:val="es-MX"/>
        </w:rPr>
        <w:t>a</w:t>
      </w:r>
      <w:r w:rsidR="00012492" w:rsidRPr="00D2098A">
        <w:rPr>
          <w:rFonts w:asciiTheme="minorHAnsi" w:hAnsiTheme="minorHAnsi"/>
          <w:lang w:val="es-MX"/>
        </w:rPr>
        <w:t xml:space="preserve"> </w:t>
      </w:r>
      <w:r w:rsidR="000A7FD2" w:rsidRPr="00D2098A">
        <w:rPr>
          <w:rFonts w:asciiTheme="minorHAnsi" w:hAnsiTheme="minorHAnsi"/>
          <w:lang w:val="es-MX"/>
        </w:rPr>
        <w:t>d</w:t>
      </w:r>
      <w:r w:rsidR="00A04F41" w:rsidRPr="00D2098A">
        <w:rPr>
          <w:rFonts w:asciiTheme="minorHAnsi" w:hAnsiTheme="minorHAnsi"/>
          <w:lang w:val="es-MX"/>
        </w:rPr>
        <w:t>uod</w:t>
      </w:r>
      <w:r w:rsidR="000A7FD2" w:rsidRPr="00D2098A">
        <w:rPr>
          <w:rFonts w:asciiTheme="minorHAnsi" w:hAnsiTheme="minorHAnsi"/>
          <w:lang w:val="es-MX"/>
        </w:rPr>
        <w:t>écima</w:t>
      </w:r>
      <w:r w:rsidR="009831CE" w:rsidRPr="00D2098A">
        <w:rPr>
          <w:rFonts w:asciiTheme="minorHAnsi" w:hAnsiTheme="minorHAnsi"/>
          <w:lang w:val="es-MX"/>
        </w:rPr>
        <w:t xml:space="preserve"> </w:t>
      </w:r>
      <w:r w:rsidR="0062552F" w:rsidRPr="00D2098A">
        <w:rPr>
          <w:rFonts w:asciiTheme="minorHAnsi" w:hAnsiTheme="minorHAnsi"/>
          <w:lang w:val="es-MX"/>
        </w:rPr>
        <w:t xml:space="preserve">dentro de </w:t>
      </w:r>
      <w:r w:rsidR="00012492" w:rsidRPr="00D2098A">
        <w:rPr>
          <w:rFonts w:asciiTheme="minorHAnsi" w:hAnsiTheme="minorHAnsi"/>
          <w:lang w:val="es-MX"/>
        </w:rPr>
        <w:t xml:space="preserve">la evaluación </w:t>
      </w:r>
      <w:r w:rsidR="0062552F" w:rsidRPr="00D2098A">
        <w:rPr>
          <w:rFonts w:asciiTheme="minorHAnsi" w:hAnsiTheme="minorHAnsi"/>
          <w:lang w:val="es-MX"/>
        </w:rPr>
        <w:t xml:space="preserve">global </w:t>
      </w:r>
      <w:r w:rsidR="00012492" w:rsidRPr="00D2098A">
        <w:rPr>
          <w:rFonts w:asciiTheme="minorHAnsi" w:hAnsiTheme="minorHAnsi"/>
          <w:lang w:val="es-MX"/>
        </w:rPr>
        <w:t>de</w:t>
      </w:r>
      <w:r w:rsidR="00605965" w:rsidRPr="00D2098A">
        <w:rPr>
          <w:rFonts w:asciiTheme="minorHAnsi" w:hAnsiTheme="minorHAnsi"/>
          <w:lang w:val="es-MX"/>
        </w:rPr>
        <w:t xml:space="preserve"> este </w:t>
      </w:r>
      <w:r w:rsidR="00BC12E9" w:rsidRPr="00D2098A">
        <w:rPr>
          <w:rFonts w:asciiTheme="minorHAnsi" w:hAnsiTheme="minorHAnsi"/>
          <w:lang w:val="es-MX"/>
        </w:rPr>
        <w:t>índice de cumplimiento</w:t>
      </w:r>
      <w:r w:rsidR="00012492" w:rsidRPr="00D2098A">
        <w:rPr>
          <w:rFonts w:asciiTheme="minorHAnsi" w:hAnsiTheme="minorHAnsi"/>
          <w:lang w:val="es-MX"/>
        </w:rPr>
        <w:t xml:space="preserve">. </w:t>
      </w:r>
      <w:r w:rsidR="00B552A8" w:rsidRPr="00D2098A">
        <w:rPr>
          <w:rFonts w:asciiTheme="minorHAnsi" w:hAnsiTheme="minorHAnsi"/>
          <w:lang w:val="es-MX"/>
        </w:rPr>
        <w:t xml:space="preserve">En cada uno de estos puntos se evaluarán 2 aspectos: 1) </w:t>
      </w:r>
      <w:r w:rsidR="009B3043" w:rsidRPr="00D2098A">
        <w:rPr>
          <w:rFonts w:asciiTheme="minorHAnsi" w:hAnsiTheme="minorHAnsi"/>
          <w:i/>
          <w:lang w:val="es-MX"/>
        </w:rPr>
        <w:t>Tiempo</w:t>
      </w:r>
      <w:r w:rsidR="009B3043" w:rsidRPr="00D2098A">
        <w:rPr>
          <w:rFonts w:asciiTheme="minorHAnsi" w:hAnsiTheme="minorHAnsi"/>
          <w:lang w:val="es-MX"/>
        </w:rPr>
        <w:t xml:space="preserve">.- </w:t>
      </w:r>
      <w:r w:rsidR="00B552A8" w:rsidRPr="00D2098A">
        <w:rPr>
          <w:rFonts w:asciiTheme="minorHAnsi" w:hAnsiTheme="minorHAnsi"/>
          <w:lang w:val="es-MX"/>
        </w:rPr>
        <w:t>que se entreguen dentro del plazo que estipule el I</w:t>
      </w:r>
      <w:r w:rsidR="002E585A" w:rsidRPr="00D2098A">
        <w:rPr>
          <w:rFonts w:asciiTheme="minorHAnsi" w:hAnsiTheme="minorHAnsi"/>
          <w:lang w:val="es-MX"/>
        </w:rPr>
        <w:t>nfo</w:t>
      </w:r>
      <w:r w:rsidR="00B552A8" w:rsidRPr="00D2098A">
        <w:rPr>
          <w:rFonts w:asciiTheme="minorHAnsi" w:hAnsiTheme="minorHAnsi"/>
          <w:lang w:val="es-MX"/>
        </w:rPr>
        <w:t xml:space="preserve">DF y 2) </w:t>
      </w:r>
      <w:r w:rsidR="009B3043" w:rsidRPr="00D2098A">
        <w:rPr>
          <w:rFonts w:asciiTheme="minorHAnsi" w:hAnsiTheme="minorHAnsi"/>
          <w:i/>
          <w:lang w:val="es-MX"/>
        </w:rPr>
        <w:t>Forma</w:t>
      </w:r>
      <w:r w:rsidR="009B3043" w:rsidRPr="00D2098A">
        <w:rPr>
          <w:rFonts w:asciiTheme="minorHAnsi" w:hAnsiTheme="minorHAnsi"/>
          <w:lang w:val="es-MX"/>
        </w:rPr>
        <w:t xml:space="preserve">.- </w:t>
      </w:r>
      <w:r w:rsidR="00B552A8" w:rsidRPr="00D2098A">
        <w:rPr>
          <w:rFonts w:asciiTheme="minorHAnsi" w:hAnsiTheme="minorHAnsi"/>
          <w:lang w:val="es-MX"/>
        </w:rPr>
        <w:t>que cumplan con los requisitos que establezca la normatividad y/o lo que señale el I</w:t>
      </w:r>
      <w:r w:rsidR="002E585A" w:rsidRPr="00D2098A">
        <w:rPr>
          <w:rFonts w:asciiTheme="minorHAnsi" w:hAnsiTheme="minorHAnsi"/>
          <w:lang w:val="es-MX"/>
        </w:rPr>
        <w:t>nfo</w:t>
      </w:r>
      <w:r w:rsidR="00B552A8" w:rsidRPr="00D2098A">
        <w:rPr>
          <w:rFonts w:asciiTheme="minorHAnsi" w:hAnsiTheme="minorHAnsi"/>
          <w:lang w:val="es-MX"/>
        </w:rPr>
        <w:t>DF en sus oficios de requerimiento.</w:t>
      </w:r>
    </w:p>
    <w:p w14:paraId="1DD06806" w14:textId="7F9360D7" w:rsidR="00F85FFD" w:rsidRPr="00D2098A" w:rsidRDefault="00F85FFD" w:rsidP="00F85FFD">
      <w:pPr>
        <w:rPr>
          <w:rFonts w:asciiTheme="minorHAnsi" w:hAnsiTheme="minorHAnsi"/>
        </w:rPr>
      </w:pPr>
      <w:r w:rsidRPr="00D2098A">
        <w:rPr>
          <w:rFonts w:asciiTheme="minorHAnsi" w:hAnsiTheme="minorHAnsi"/>
        </w:rPr>
        <w:t xml:space="preserve">También en este caso, </w:t>
      </w:r>
      <w:r w:rsidR="00F9511A" w:rsidRPr="00D2098A">
        <w:rPr>
          <w:rFonts w:asciiTheme="minorHAnsi" w:hAnsiTheme="minorHAnsi"/>
        </w:rPr>
        <w:t xml:space="preserve">además de que </w:t>
      </w:r>
      <w:r w:rsidRPr="00D2098A">
        <w:rPr>
          <w:rFonts w:asciiTheme="minorHAnsi" w:hAnsiTheme="minorHAnsi"/>
        </w:rPr>
        <w:t>e</w:t>
      </w:r>
      <w:r w:rsidR="00F9511A" w:rsidRPr="00D2098A">
        <w:rPr>
          <w:rFonts w:asciiTheme="minorHAnsi" w:hAnsiTheme="minorHAnsi"/>
        </w:rPr>
        <w:t xml:space="preserve">l </w:t>
      </w:r>
      <w:r w:rsidRPr="00D2098A">
        <w:rPr>
          <w:rFonts w:asciiTheme="minorHAnsi" w:hAnsiTheme="minorHAnsi"/>
        </w:rPr>
        <w:t xml:space="preserve">resultado </w:t>
      </w:r>
      <w:r w:rsidR="00F9511A" w:rsidRPr="00D2098A">
        <w:rPr>
          <w:rFonts w:asciiTheme="minorHAnsi" w:hAnsiTheme="minorHAnsi"/>
        </w:rPr>
        <w:t>obtenido se utiliza</w:t>
      </w:r>
      <w:r w:rsidR="009B3043" w:rsidRPr="00D2098A">
        <w:rPr>
          <w:rFonts w:asciiTheme="minorHAnsi" w:hAnsiTheme="minorHAnsi"/>
        </w:rPr>
        <w:t>rá</w:t>
      </w:r>
      <w:r w:rsidR="00F9511A" w:rsidRPr="00D2098A">
        <w:rPr>
          <w:rFonts w:asciiTheme="minorHAnsi" w:hAnsiTheme="minorHAnsi"/>
        </w:rPr>
        <w:t xml:space="preserve"> para la </w:t>
      </w:r>
      <w:r w:rsidRPr="00D2098A">
        <w:rPr>
          <w:rFonts w:asciiTheme="minorHAnsi" w:hAnsiTheme="minorHAnsi"/>
        </w:rPr>
        <w:t xml:space="preserve">determinación de los primeros lugares en la evaluación general de las “Mejores Prácticas de Transparencia”, el </w:t>
      </w:r>
      <w:r w:rsidR="00B35069" w:rsidRPr="00D2098A">
        <w:rPr>
          <w:rFonts w:asciiTheme="minorHAnsi" w:hAnsiTheme="minorHAnsi"/>
        </w:rPr>
        <w:t>I</w:t>
      </w:r>
      <w:r w:rsidR="007D29DB" w:rsidRPr="00D2098A">
        <w:rPr>
          <w:rFonts w:asciiTheme="minorHAnsi" w:hAnsiTheme="minorHAnsi"/>
        </w:rPr>
        <w:t>nfo</w:t>
      </w:r>
      <w:r w:rsidR="00B35069" w:rsidRPr="00D2098A">
        <w:rPr>
          <w:rFonts w:asciiTheme="minorHAnsi" w:hAnsiTheme="minorHAnsi"/>
        </w:rPr>
        <w:t>DF</w:t>
      </w:r>
      <w:r w:rsidRPr="00D2098A">
        <w:rPr>
          <w:rFonts w:asciiTheme="minorHAnsi" w:hAnsiTheme="minorHAnsi"/>
        </w:rPr>
        <w:t xml:space="preserve"> </w:t>
      </w:r>
      <w:r w:rsidR="009831CE" w:rsidRPr="00D2098A">
        <w:rPr>
          <w:rFonts w:asciiTheme="minorHAnsi" w:hAnsiTheme="minorHAnsi"/>
        </w:rPr>
        <w:t xml:space="preserve">entregará </w:t>
      </w:r>
      <w:r w:rsidRPr="00D2098A">
        <w:rPr>
          <w:rFonts w:asciiTheme="minorHAnsi" w:hAnsiTheme="minorHAnsi"/>
        </w:rPr>
        <w:t>reconoc</w:t>
      </w:r>
      <w:r w:rsidR="009831CE" w:rsidRPr="00D2098A">
        <w:rPr>
          <w:rFonts w:asciiTheme="minorHAnsi" w:hAnsiTheme="minorHAnsi"/>
        </w:rPr>
        <w:t xml:space="preserve">imientos </w:t>
      </w:r>
      <w:r w:rsidRPr="00D2098A">
        <w:rPr>
          <w:rFonts w:asciiTheme="minorHAnsi" w:hAnsiTheme="minorHAnsi"/>
        </w:rPr>
        <w:t xml:space="preserve">a todos los Entes </w:t>
      </w:r>
      <w:r w:rsidR="002E585A" w:rsidRPr="00D2098A">
        <w:rPr>
          <w:rFonts w:asciiTheme="minorHAnsi" w:hAnsiTheme="minorHAnsi"/>
        </w:rPr>
        <w:t xml:space="preserve">Obligados </w:t>
      </w:r>
      <w:r w:rsidRPr="00D2098A">
        <w:rPr>
          <w:rFonts w:asciiTheme="minorHAnsi" w:hAnsiTheme="minorHAnsi"/>
        </w:rPr>
        <w:t xml:space="preserve">que hayan </w:t>
      </w:r>
      <w:r w:rsidR="00F9511A" w:rsidRPr="00D2098A">
        <w:rPr>
          <w:rFonts w:asciiTheme="minorHAnsi" w:hAnsiTheme="minorHAnsi"/>
        </w:rPr>
        <w:t>entregado</w:t>
      </w:r>
      <w:r w:rsidRPr="00D2098A">
        <w:rPr>
          <w:rFonts w:asciiTheme="minorHAnsi" w:hAnsiTheme="minorHAnsi"/>
        </w:rPr>
        <w:t xml:space="preserve">, en tiempo y forma, </w:t>
      </w:r>
      <w:r w:rsidR="00357710" w:rsidRPr="00D2098A">
        <w:rPr>
          <w:rFonts w:asciiTheme="minorHAnsi" w:hAnsiTheme="minorHAnsi"/>
        </w:rPr>
        <w:t xml:space="preserve">los </w:t>
      </w:r>
      <w:r w:rsidR="00010A9F" w:rsidRPr="00D2098A">
        <w:rPr>
          <w:rFonts w:asciiTheme="minorHAnsi" w:hAnsiTheme="minorHAnsi"/>
        </w:rPr>
        <w:t>12</w:t>
      </w:r>
      <w:r w:rsidR="00F9511A" w:rsidRPr="00D2098A">
        <w:rPr>
          <w:rFonts w:asciiTheme="minorHAnsi" w:hAnsiTheme="minorHAnsi"/>
        </w:rPr>
        <w:t xml:space="preserve"> </w:t>
      </w:r>
      <w:r w:rsidR="00BF3A99" w:rsidRPr="00D2098A">
        <w:rPr>
          <w:rFonts w:asciiTheme="minorHAnsi" w:hAnsiTheme="minorHAnsi"/>
        </w:rPr>
        <w:t xml:space="preserve">incisos </w:t>
      </w:r>
      <w:r w:rsidR="00AB5D79" w:rsidRPr="00D2098A">
        <w:rPr>
          <w:rFonts w:asciiTheme="minorHAnsi" w:hAnsiTheme="minorHAnsi"/>
        </w:rPr>
        <w:t>señalados</w:t>
      </w:r>
      <w:r w:rsidR="00C32F45" w:rsidRPr="00D2098A">
        <w:rPr>
          <w:rFonts w:asciiTheme="minorHAnsi" w:hAnsiTheme="minorHAnsi"/>
        </w:rPr>
        <w:t>, es decir que hayan obtenido 100 de calificación en este aspecto</w:t>
      </w:r>
      <w:r w:rsidR="00AB5D79" w:rsidRPr="00D2098A">
        <w:rPr>
          <w:rFonts w:asciiTheme="minorHAnsi" w:hAnsiTheme="minorHAnsi"/>
        </w:rPr>
        <w:t>.</w:t>
      </w:r>
    </w:p>
    <w:p w14:paraId="5F337CEE" w14:textId="77777777" w:rsidR="0012655D" w:rsidRPr="00D2098A" w:rsidRDefault="0012655D" w:rsidP="0012655D">
      <w:pPr>
        <w:ind w:firstLine="708"/>
        <w:rPr>
          <w:rFonts w:asciiTheme="minorHAnsi" w:hAnsiTheme="minorHAnsi"/>
        </w:rPr>
      </w:pPr>
    </w:p>
    <w:p w14:paraId="554C8CA1" w14:textId="77777777" w:rsidR="0012655D" w:rsidRPr="00D2098A" w:rsidRDefault="0012655D" w:rsidP="0012655D">
      <w:pPr>
        <w:ind w:firstLine="708"/>
        <w:rPr>
          <w:rFonts w:asciiTheme="minorHAnsi" w:hAnsiTheme="minorHAnsi"/>
        </w:rPr>
      </w:pPr>
    </w:p>
    <w:p w14:paraId="74BBD1FB" w14:textId="77777777" w:rsidR="007A7716" w:rsidRPr="00D2098A" w:rsidRDefault="00E77C6A" w:rsidP="007A7716">
      <w:pPr>
        <w:rPr>
          <w:rFonts w:asciiTheme="minorHAnsi" w:hAnsiTheme="minorHAnsi"/>
          <w:b/>
          <w:i/>
        </w:rPr>
      </w:pPr>
      <w:r w:rsidRPr="00D2098A">
        <w:rPr>
          <w:rFonts w:asciiTheme="minorHAnsi" w:hAnsiTheme="minorHAnsi"/>
          <w:b/>
          <w:i/>
        </w:rPr>
        <w:t>IV.</w:t>
      </w:r>
      <w:r w:rsidR="00277698" w:rsidRPr="00D2098A">
        <w:rPr>
          <w:rFonts w:asciiTheme="minorHAnsi" w:hAnsiTheme="minorHAnsi"/>
          <w:b/>
          <w:i/>
        </w:rPr>
        <w:t>4</w:t>
      </w:r>
      <w:r w:rsidR="007A7716" w:rsidRPr="00D2098A">
        <w:rPr>
          <w:rFonts w:asciiTheme="minorHAnsi" w:hAnsiTheme="minorHAnsi"/>
          <w:b/>
          <w:i/>
        </w:rPr>
        <w:t xml:space="preserve">. </w:t>
      </w:r>
      <w:r w:rsidR="00626ABE" w:rsidRPr="00D2098A">
        <w:rPr>
          <w:rFonts w:asciiTheme="minorHAnsi" w:hAnsiTheme="minorHAnsi"/>
          <w:b/>
          <w:i/>
        </w:rPr>
        <w:t xml:space="preserve">Índice de </w:t>
      </w:r>
      <w:r w:rsidR="007A7716" w:rsidRPr="00D2098A">
        <w:rPr>
          <w:rFonts w:asciiTheme="minorHAnsi" w:hAnsiTheme="minorHAnsi"/>
          <w:b/>
          <w:i/>
        </w:rPr>
        <w:t>Acciones de Capacitación</w:t>
      </w:r>
    </w:p>
    <w:p w14:paraId="64736DB0" w14:textId="77777777" w:rsidR="007A7716" w:rsidRPr="00D2098A" w:rsidRDefault="007A7716" w:rsidP="007A7716">
      <w:pPr>
        <w:rPr>
          <w:rFonts w:asciiTheme="minorHAnsi" w:hAnsiTheme="minorHAnsi"/>
        </w:rPr>
      </w:pPr>
    </w:p>
    <w:p w14:paraId="3B43DB2B" w14:textId="77777777" w:rsidR="00454015" w:rsidRPr="00D2098A" w:rsidRDefault="007A7716" w:rsidP="007A7716">
      <w:pPr>
        <w:rPr>
          <w:rFonts w:asciiTheme="minorHAnsi" w:hAnsiTheme="minorHAnsi"/>
          <w:lang w:val="es-MX"/>
        </w:rPr>
      </w:pPr>
      <w:r w:rsidRPr="00D2098A">
        <w:rPr>
          <w:rFonts w:asciiTheme="minorHAnsi" w:hAnsiTheme="minorHAnsi"/>
        </w:rPr>
        <w:t>E</w:t>
      </w:r>
      <w:r w:rsidRPr="00D2098A">
        <w:rPr>
          <w:rFonts w:asciiTheme="minorHAnsi" w:hAnsiTheme="minorHAnsi"/>
          <w:lang w:val="es-MX"/>
        </w:rPr>
        <w:t xml:space="preserve">l </w:t>
      </w:r>
      <w:r w:rsidR="00277698" w:rsidRPr="00D2098A">
        <w:rPr>
          <w:rFonts w:asciiTheme="minorHAnsi" w:hAnsiTheme="minorHAnsi"/>
          <w:lang w:val="es-MX"/>
        </w:rPr>
        <w:t>cuarto y último</w:t>
      </w:r>
      <w:r w:rsidRPr="00D2098A">
        <w:rPr>
          <w:rFonts w:asciiTheme="minorHAnsi" w:hAnsiTheme="minorHAnsi"/>
          <w:lang w:val="es-MX"/>
        </w:rPr>
        <w:t xml:space="preserve"> aspecto</w:t>
      </w:r>
      <w:r w:rsidR="00277698" w:rsidRPr="00D2098A">
        <w:rPr>
          <w:rFonts w:asciiTheme="minorHAnsi" w:hAnsiTheme="minorHAnsi"/>
          <w:lang w:val="es-MX"/>
        </w:rPr>
        <w:t xml:space="preserve"> de</w:t>
      </w:r>
      <w:r w:rsidRPr="00D2098A">
        <w:rPr>
          <w:rFonts w:asciiTheme="minorHAnsi" w:hAnsiTheme="minorHAnsi"/>
          <w:lang w:val="es-MX"/>
        </w:rPr>
        <w:t xml:space="preserve"> </w:t>
      </w:r>
      <w:r w:rsidRPr="00D2098A">
        <w:rPr>
          <w:rFonts w:asciiTheme="minorHAnsi" w:hAnsiTheme="minorHAnsi"/>
          <w:b/>
          <w:i/>
          <w:lang w:val="es-MX"/>
        </w:rPr>
        <w:t>Acciones de Capacitación</w:t>
      </w:r>
      <w:r w:rsidR="00D954ED" w:rsidRPr="00D2098A">
        <w:rPr>
          <w:rFonts w:asciiTheme="minorHAnsi" w:hAnsiTheme="minorHAnsi"/>
          <w:b/>
          <w:i/>
          <w:lang w:val="es-MX"/>
        </w:rPr>
        <w:t xml:space="preserve"> </w:t>
      </w:r>
      <w:r w:rsidR="00D954ED" w:rsidRPr="00D2098A">
        <w:rPr>
          <w:rFonts w:asciiTheme="minorHAnsi" w:hAnsiTheme="minorHAnsi"/>
          <w:b/>
          <w:i/>
        </w:rPr>
        <w:t>(</w:t>
      </w:r>
      <w:r w:rsidR="00D954ED" w:rsidRPr="00D2098A">
        <w:rPr>
          <w:rFonts w:asciiTheme="minorHAnsi" w:hAnsiTheme="minorHAnsi"/>
          <w:b/>
          <w:i/>
          <w:lang w:val="es-MX"/>
        </w:rPr>
        <w:t>IA</w:t>
      </w:r>
      <w:r w:rsidR="00D954ED" w:rsidRPr="00D2098A">
        <w:rPr>
          <w:rFonts w:asciiTheme="minorHAnsi" w:hAnsiTheme="minorHAnsi"/>
          <w:b/>
          <w:i/>
          <w:vertAlign w:val="subscript"/>
          <w:lang w:val="es-MX"/>
        </w:rPr>
        <w:t>CAP</w:t>
      </w:r>
      <w:r w:rsidR="00D954ED" w:rsidRPr="00D2098A">
        <w:rPr>
          <w:rFonts w:asciiTheme="minorHAnsi" w:hAnsiTheme="minorHAnsi"/>
          <w:b/>
          <w:i/>
        </w:rPr>
        <w:t>)</w:t>
      </w:r>
      <w:r w:rsidRPr="00D2098A">
        <w:rPr>
          <w:rFonts w:asciiTheme="minorHAnsi" w:hAnsiTheme="minorHAnsi"/>
          <w:lang w:val="es-MX"/>
        </w:rPr>
        <w:t xml:space="preserve">, </w:t>
      </w:r>
      <w:r w:rsidR="009C5341" w:rsidRPr="00D2098A">
        <w:rPr>
          <w:rFonts w:asciiTheme="minorHAnsi" w:hAnsiTheme="minorHAnsi"/>
          <w:lang w:val="es-MX"/>
        </w:rPr>
        <w:t xml:space="preserve">que representa el </w:t>
      </w:r>
      <w:r w:rsidR="002C749A" w:rsidRPr="00D2098A">
        <w:rPr>
          <w:rFonts w:asciiTheme="minorHAnsi" w:hAnsiTheme="minorHAnsi"/>
          <w:lang w:val="es-MX"/>
        </w:rPr>
        <w:t xml:space="preserve">restante </w:t>
      </w:r>
      <w:r w:rsidR="009C5341" w:rsidRPr="00D2098A">
        <w:rPr>
          <w:rFonts w:asciiTheme="minorHAnsi" w:hAnsiTheme="minorHAnsi"/>
          <w:lang w:val="es-MX"/>
        </w:rPr>
        <w:t xml:space="preserve">20% del Índice </w:t>
      </w:r>
      <w:r w:rsidR="007D44FE" w:rsidRPr="00D2098A">
        <w:rPr>
          <w:rFonts w:asciiTheme="minorHAnsi" w:hAnsiTheme="minorHAnsi"/>
          <w:lang w:val="es-MX"/>
        </w:rPr>
        <w:t>Compuesto</w:t>
      </w:r>
      <w:r w:rsidR="009C5341" w:rsidRPr="00D2098A">
        <w:rPr>
          <w:rFonts w:asciiTheme="minorHAnsi" w:hAnsiTheme="minorHAnsi"/>
          <w:lang w:val="es-MX"/>
        </w:rPr>
        <w:t xml:space="preserve"> de Mejores Prácticas de Transparencia, </w:t>
      </w:r>
      <w:r w:rsidR="00E60AC5" w:rsidRPr="00D2098A">
        <w:rPr>
          <w:rFonts w:asciiTheme="minorHAnsi" w:hAnsiTheme="minorHAnsi"/>
          <w:lang w:val="es-MX"/>
        </w:rPr>
        <w:t>se evaluará de acuerdo a lo siguiente:</w:t>
      </w:r>
      <w:r w:rsidR="009C5341" w:rsidRPr="00D2098A">
        <w:rPr>
          <w:rFonts w:asciiTheme="minorHAnsi" w:hAnsiTheme="minorHAnsi"/>
          <w:lang w:val="es-MX"/>
        </w:rPr>
        <w:t xml:space="preserve"> </w:t>
      </w:r>
    </w:p>
    <w:p w14:paraId="00EF80D6" w14:textId="77777777" w:rsidR="004F7197" w:rsidRPr="00D2098A" w:rsidRDefault="004F7197" w:rsidP="007A7716">
      <w:pPr>
        <w:rPr>
          <w:rFonts w:asciiTheme="minorHAnsi" w:hAnsiTheme="minorHAnsi"/>
          <w:b/>
          <w:lang w:val="es-MX"/>
        </w:rPr>
      </w:pPr>
    </w:p>
    <w:p w14:paraId="7F2E3ED8" w14:textId="77777777" w:rsidR="00454015" w:rsidRPr="00D2098A" w:rsidRDefault="004F7197" w:rsidP="004F7197">
      <w:pPr>
        <w:jc w:val="center"/>
        <w:rPr>
          <w:rFonts w:asciiTheme="minorHAnsi" w:hAnsiTheme="minorHAnsi"/>
          <w:b/>
          <w:lang w:val="es-MX"/>
        </w:rPr>
      </w:pPr>
      <w:r w:rsidRPr="00D2098A">
        <w:rPr>
          <w:rFonts w:asciiTheme="minorHAnsi" w:hAnsiTheme="minorHAnsi"/>
          <w:b/>
          <w:lang w:val="es-MX"/>
        </w:rPr>
        <w:t>FACTORES DE PONDERACIÓN DE LAS ACCIONES DE CAPACITACIÓN</w:t>
      </w:r>
    </w:p>
    <w:tbl>
      <w:tblPr>
        <w:tblW w:w="8602" w:type="dxa"/>
        <w:jc w:val="center"/>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CellMar>
          <w:left w:w="0" w:type="dxa"/>
          <w:right w:w="0" w:type="dxa"/>
        </w:tblCellMar>
        <w:tblLook w:val="0600" w:firstRow="0" w:lastRow="0" w:firstColumn="0" w:lastColumn="0" w:noHBand="1" w:noVBand="1"/>
      </w:tblPr>
      <w:tblGrid>
        <w:gridCol w:w="2318"/>
        <w:gridCol w:w="4442"/>
        <w:gridCol w:w="1842"/>
      </w:tblGrid>
      <w:tr w:rsidR="00D2098A" w:rsidRPr="00D2098A" w14:paraId="272EF442" w14:textId="77777777" w:rsidTr="00D2098A">
        <w:trPr>
          <w:trHeight w:val="680"/>
          <w:jc w:val="center"/>
        </w:trPr>
        <w:tc>
          <w:tcPr>
            <w:tcW w:w="2318" w:type="dxa"/>
            <w:tcBorders>
              <w:right w:val="single" w:sz="6" w:space="0" w:color="FFFFFF"/>
            </w:tcBorders>
            <w:shd w:val="clear" w:color="auto" w:fill="215868"/>
            <w:tcMar>
              <w:top w:w="15" w:type="dxa"/>
              <w:left w:w="97" w:type="dxa"/>
              <w:bottom w:w="0" w:type="dxa"/>
              <w:right w:w="97" w:type="dxa"/>
            </w:tcMar>
            <w:vAlign w:val="center"/>
            <w:hideMark/>
          </w:tcPr>
          <w:p w14:paraId="2C2DF203" w14:textId="77777777" w:rsidR="00D954ED" w:rsidRPr="005F527E" w:rsidRDefault="00D954ED" w:rsidP="00D954ED">
            <w:pPr>
              <w:jc w:val="center"/>
              <w:rPr>
                <w:rFonts w:asciiTheme="minorHAnsi" w:eastAsia="Times New Roman" w:hAnsiTheme="minorHAnsi" w:cs="Arial"/>
                <w:color w:val="FFFFFF" w:themeColor="background1"/>
                <w:lang w:eastAsia="es-MX"/>
              </w:rPr>
            </w:pPr>
            <w:r w:rsidRPr="005F527E">
              <w:rPr>
                <w:rFonts w:asciiTheme="minorHAnsi" w:hAnsiTheme="minorHAnsi"/>
                <w:b/>
                <w:bCs/>
                <w:color w:val="FFFFFF" w:themeColor="background1"/>
                <w:kern w:val="24"/>
                <w:lang w:eastAsia="es-MX"/>
              </w:rPr>
              <w:t>Aspectos a Evaluar</w:t>
            </w:r>
          </w:p>
        </w:tc>
        <w:tc>
          <w:tcPr>
            <w:tcW w:w="4442" w:type="dxa"/>
            <w:tcBorders>
              <w:left w:val="single" w:sz="6" w:space="0" w:color="FFFFFF"/>
              <w:right w:val="single" w:sz="6" w:space="0" w:color="FFFFFF"/>
            </w:tcBorders>
            <w:shd w:val="clear" w:color="auto" w:fill="215868"/>
            <w:tcMar>
              <w:top w:w="15" w:type="dxa"/>
              <w:left w:w="97" w:type="dxa"/>
              <w:bottom w:w="0" w:type="dxa"/>
              <w:right w:w="97" w:type="dxa"/>
            </w:tcMar>
            <w:vAlign w:val="center"/>
            <w:hideMark/>
          </w:tcPr>
          <w:p w14:paraId="79AA20BF" w14:textId="77777777" w:rsidR="00D954ED" w:rsidRPr="005F527E" w:rsidRDefault="00D954ED" w:rsidP="00D954ED">
            <w:pPr>
              <w:jc w:val="center"/>
              <w:rPr>
                <w:rFonts w:asciiTheme="minorHAnsi" w:eastAsia="Times New Roman" w:hAnsiTheme="minorHAnsi" w:cs="Arial"/>
                <w:color w:val="FFFFFF" w:themeColor="background1"/>
                <w:lang w:eastAsia="es-MX"/>
              </w:rPr>
            </w:pPr>
            <w:r w:rsidRPr="005F527E">
              <w:rPr>
                <w:rFonts w:asciiTheme="minorHAnsi" w:hAnsiTheme="minorHAnsi"/>
                <w:b/>
                <w:bCs/>
                <w:color w:val="FFFFFF" w:themeColor="background1"/>
                <w:kern w:val="24"/>
                <w:lang w:eastAsia="es-MX"/>
              </w:rPr>
              <w:t>Concepto</w:t>
            </w:r>
          </w:p>
        </w:tc>
        <w:tc>
          <w:tcPr>
            <w:tcW w:w="1842" w:type="dxa"/>
            <w:tcBorders>
              <w:left w:val="single" w:sz="6" w:space="0" w:color="FFFFFF"/>
            </w:tcBorders>
            <w:shd w:val="clear" w:color="auto" w:fill="215868"/>
            <w:tcMar>
              <w:top w:w="15" w:type="dxa"/>
              <w:left w:w="97" w:type="dxa"/>
              <w:bottom w:w="0" w:type="dxa"/>
              <w:right w:w="97" w:type="dxa"/>
            </w:tcMar>
            <w:vAlign w:val="center"/>
            <w:hideMark/>
          </w:tcPr>
          <w:p w14:paraId="0EB7406B" w14:textId="77777777" w:rsidR="00D954ED" w:rsidRPr="005F527E" w:rsidRDefault="00D954ED" w:rsidP="00D954ED">
            <w:pPr>
              <w:jc w:val="center"/>
              <w:rPr>
                <w:rFonts w:asciiTheme="minorHAnsi" w:eastAsia="Times New Roman" w:hAnsiTheme="minorHAnsi" w:cs="Arial"/>
                <w:color w:val="FFFFFF" w:themeColor="background1"/>
                <w:lang w:eastAsia="es-MX"/>
              </w:rPr>
            </w:pPr>
            <w:r w:rsidRPr="005F527E">
              <w:rPr>
                <w:rFonts w:asciiTheme="minorHAnsi" w:hAnsiTheme="minorHAnsi"/>
                <w:b/>
                <w:bCs/>
                <w:color w:val="FFFFFF" w:themeColor="background1"/>
                <w:kern w:val="24"/>
                <w:lang w:eastAsia="es-MX"/>
              </w:rPr>
              <w:t>Porcentaje asignado</w:t>
            </w:r>
          </w:p>
        </w:tc>
      </w:tr>
      <w:tr w:rsidR="00D2098A" w:rsidRPr="00D2098A" w14:paraId="538D6403" w14:textId="77777777" w:rsidTr="00D2098A">
        <w:trPr>
          <w:trHeight w:val="624"/>
          <w:jc w:val="center"/>
        </w:trPr>
        <w:tc>
          <w:tcPr>
            <w:tcW w:w="2318" w:type="dxa"/>
            <w:vMerge w:val="restart"/>
            <w:shd w:val="clear" w:color="auto" w:fill="B6DDE8"/>
            <w:tcMar>
              <w:top w:w="15" w:type="dxa"/>
              <w:left w:w="97" w:type="dxa"/>
              <w:bottom w:w="0" w:type="dxa"/>
              <w:right w:w="97" w:type="dxa"/>
            </w:tcMar>
            <w:vAlign w:val="center"/>
            <w:hideMark/>
          </w:tcPr>
          <w:p w14:paraId="4F5D41F8" w14:textId="77777777" w:rsidR="00D954ED" w:rsidRPr="00D2098A" w:rsidRDefault="00D954ED" w:rsidP="00D954ED">
            <w:pPr>
              <w:jc w:val="center"/>
              <w:rPr>
                <w:rFonts w:asciiTheme="minorHAnsi" w:hAnsiTheme="minorHAnsi"/>
                <w:kern w:val="24"/>
                <w:lang w:eastAsia="es-MX"/>
              </w:rPr>
            </w:pPr>
            <w:r w:rsidRPr="00D2098A">
              <w:rPr>
                <w:rFonts w:asciiTheme="minorHAnsi" w:hAnsiTheme="minorHAnsi"/>
                <w:kern w:val="24"/>
                <w:lang w:eastAsia="es-MX"/>
              </w:rPr>
              <w:t>Capacitación</w:t>
            </w:r>
            <w:r w:rsidR="00EF728C" w:rsidRPr="00D2098A">
              <w:rPr>
                <w:rFonts w:asciiTheme="minorHAnsi" w:hAnsiTheme="minorHAnsi"/>
                <w:kern w:val="24"/>
                <w:lang w:eastAsia="es-MX"/>
              </w:rPr>
              <w:t xml:space="preserve"> mediante cursos</w:t>
            </w:r>
          </w:p>
          <w:p w14:paraId="47B8B790" w14:textId="77777777" w:rsidR="00EF728C" w:rsidRPr="00D2098A" w:rsidRDefault="00EF728C" w:rsidP="00D954ED">
            <w:pPr>
              <w:jc w:val="center"/>
              <w:rPr>
                <w:rFonts w:asciiTheme="minorHAnsi" w:hAnsiTheme="minorHAnsi"/>
                <w:kern w:val="24"/>
                <w:lang w:eastAsia="es-MX"/>
              </w:rPr>
            </w:pPr>
          </w:p>
          <w:p w14:paraId="48FD4682" w14:textId="4771CB88" w:rsidR="00D954ED" w:rsidRPr="00D2098A" w:rsidRDefault="00D954ED" w:rsidP="00D2098A">
            <w:pPr>
              <w:jc w:val="center"/>
              <w:rPr>
                <w:rFonts w:asciiTheme="minorHAnsi" w:eastAsia="Times New Roman" w:hAnsiTheme="minorHAnsi" w:cs="Arial"/>
                <w:lang w:eastAsia="es-MX"/>
              </w:rPr>
            </w:pPr>
            <w:r w:rsidRPr="00D2098A">
              <w:rPr>
                <w:rFonts w:asciiTheme="minorHAnsi" w:hAnsiTheme="minorHAnsi"/>
                <w:kern w:val="24"/>
                <w:lang w:eastAsia="es-MX"/>
              </w:rPr>
              <w:t>(Certificados 100% capacitados, vigentes)</w:t>
            </w:r>
          </w:p>
        </w:tc>
        <w:tc>
          <w:tcPr>
            <w:tcW w:w="4442" w:type="dxa"/>
            <w:shd w:val="clear" w:color="auto" w:fill="B6DDE8"/>
            <w:tcMar>
              <w:top w:w="15" w:type="dxa"/>
              <w:left w:w="97" w:type="dxa"/>
              <w:bottom w:w="0" w:type="dxa"/>
              <w:right w:w="97" w:type="dxa"/>
            </w:tcMar>
            <w:vAlign w:val="center"/>
            <w:hideMark/>
          </w:tcPr>
          <w:p w14:paraId="3786B581"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kern w:val="24"/>
                <w:lang w:eastAsia="es-MX"/>
              </w:rPr>
              <w:t>Ley de Transparencia y Acceso a la Información Pública del Distrito Federal (LTAIPDF).</w:t>
            </w:r>
          </w:p>
        </w:tc>
        <w:tc>
          <w:tcPr>
            <w:tcW w:w="1842" w:type="dxa"/>
            <w:shd w:val="clear" w:color="auto" w:fill="B6DDE8"/>
            <w:tcMar>
              <w:top w:w="15" w:type="dxa"/>
              <w:left w:w="97" w:type="dxa"/>
              <w:bottom w:w="0" w:type="dxa"/>
              <w:right w:w="97" w:type="dxa"/>
            </w:tcMar>
            <w:vAlign w:val="center"/>
            <w:hideMark/>
          </w:tcPr>
          <w:p w14:paraId="45EDEC41"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b/>
                <w:bCs/>
                <w:kern w:val="24"/>
                <w:lang w:eastAsia="es-MX"/>
              </w:rPr>
              <w:t>37.5%</w:t>
            </w:r>
          </w:p>
        </w:tc>
      </w:tr>
      <w:tr w:rsidR="00D2098A" w:rsidRPr="00D2098A" w14:paraId="74A8C8B0" w14:textId="77777777" w:rsidTr="00D2098A">
        <w:trPr>
          <w:trHeight w:val="454"/>
          <w:jc w:val="center"/>
        </w:trPr>
        <w:tc>
          <w:tcPr>
            <w:tcW w:w="2318" w:type="dxa"/>
            <w:vMerge/>
            <w:vAlign w:val="center"/>
            <w:hideMark/>
          </w:tcPr>
          <w:p w14:paraId="72429E3B" w14:textId="77777777" w:rsidR="00D954ED" w:rsidRPr="00D2098A" w:rsidRDefault="00D954ED" w:rsidP="00D954ED">
            <w:pPr>
              <w:jc w:val="center"/>
              <w:rPr>
                <w:rFonts w:asciiTheme="minorHAnsi" w:eastAsia="Times New Roman" w:hAnsiTheme="minorHAnsi" w:cs="Arial"/>
                <w:lang w:eastAsia="es-MX"/>
              </w:rPr>
            </w:pPr>
          </w:p>
        </w:tc>
        <w:tc>
          <w:tcPr>
            <w:tcW w:w="4442" w:type="dxa"/>
            <w:shd w:val="clear" w:color="auto" w:fill="B6DDE8"/>
            <w:tcMar>
              <w:top w:w="15" w:type="dxa"/>
              <w:left w:w="97" w:type="dxa"/>
              <w:bottom w:w="0" w:type="dxa"/>
              <w:right w:w="97" w:type="dxa"/>
            </w:tcMar>
            <w:vAlign w:val="center"/>
            <w:hideMark/>
          </w:tcPr>
          <w:p w14:paraId="00BD20CB"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kern w:val="24"/>
                <w:lang w:eastAsia="es-MX"/>
              </w:rPr>
              <w:t>Ética Pública</w:t>
            </w:r>
          </w:p>
        </w:tc>
        <w:tc>
          <w:tcPr>
            <w:tcW w:w="1842" w:type="dxa"/>
            <w:shd w:val="clear" w:color="auto" w:fill="B6DDE8"/>
            <w:tcMar>
              <w:top w:w="15" w:type="dxa"/>
              <w:left w:w="97" w:type="dxa"/>
              <w:bottom w:w="0" w:type="dxa"/>
              <w:right w:w="97" w:type="dxa"/>
            </w:tcMar>
            <w:vAlign w:val="center"/>
            <w:hideMark/>
          </w:tcPr>
          <w:p w14:paraId="729FB9D3"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b/>
                <w:bCs/>
                <w:kern w:val="24"/>
                <w:lang w:eastAsia="es-MX"/>
              </w:rPr>
              <w:t>15.0%</w:t>
            </w:r>
          </w:p>
        </w:tc>
      </w:tr>
      <w:tr w:rsidR="00D2098A" w:rsidRPr="00D2098A" w14:paraId="4AD7B0A0" w14:textId="77777777" w:rsidTr="00D2098A">
        <w:trPr>
          <w:trHeight w:val="907"/>
          <w:jc w:val="center"/>
        </w:trPr>
        <w:tc>
          <w:tcPr>
            <w:tcW w:w="2318" w:type="dxa"/>
            <w:vMerge/>
            <w:shd w:val="clear" w:color="auto" w:fill="B6DDE8"/>
            <w:tcMar>
              <w:top w:w="15" w:type="dxa"/>
              <w:left w:w="97" w:type="dxa"/>
              <w:bottom w:w="0" w:type="dxa"/>
              <w:right w:w="97" w:type="dxa"/>
            </w:tcMar>
            <w:vAlign w:val="center"/>
            <w:hideMark/>
          </w:tcPr>
          <w:p w14:paraId="0A28090B" w14:textId="77777777" w:rsidR="00D954ED" w:rsidRPr="00D2098A" w:rsidRDefault="00D954ED" w:rsidP="00D954ED">
            <w:pPr>
              <w:jc w:val="center"/>
              <w:rPr>
                <w:rFonts w:asciiTheme="minorHAnsi" w:eastAsia="Times New Roman" w:hAnsiTheme="minorHAnsi" w:cs="Arial"/>
                <w:lang w:eastAsia="es-MX"/>
              </w:rPr>
            </w:pPr>
          </w:p>
        </w:tc>
        <w:tc>
          <w:tcPr>
            <w:tcW w:w="4442" w:type="dxa"/>
            <w:shd w:val="clear" w:color="auto" w:fill="B6DDE8"/>
            <w:tcMar>
              <w:top w:w="15" w:type="dxa"/>
              <w:left w:w="97" w:type="dxa"/>
              <w:bottom w:w="0" w:type="dxa"/>
              <w:right w:w="97" w:type="dxa"/>
            </w:tcMar>
            <w:vAlign w:val="center"/>
            <w:hideMark/>
          </w:tcPr>
          <w:p w14:paraId="3CEF9D46"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kern w:val="24"/>
                <w:lang w:eastAsia="es-MX"/>
              </w:rPr>
              <w:t>Programa Modular de Capacitación y Cursos Focalizados en materia de Acceso a la información</w:t>
            </w:r>
          </w:p>
        </w:tc>
        <w:tc>
          <w:tcPr>
            <w:tcW w:w="1842" w:type="dxa"/>
            <w:shd w:val="clear" w:color="auto" w:fill="B6DDE8"/>
            <w:tcMar>
              <w:top w:w="15" w:type="dxa"/>
              <w:left w:w="97" w:type="dxa"/>
              <w:bottom w:w="0" w:type="dxa"/>
              <w:right w:w="97" w:type="dxa"/>
            </w:tcMar>
            <w:vAlign w:val="center"/>
            <w:hideMark/>
          </w:tcPr>
          <w:p w14:paraId="4F715BB3"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b/>
                <w:bCs/>
                <w:kern w:val="24"/>
                <w:lang w:eastAsia="es-MX"/>
              </w:rPr>
              <w:t>17.5%</w:t>
            </w:r>
          </w:p>
        </w:tc>
      </w:tr>
      <w:tr w:rsidR="00D2098A" w:rsidRPr="00D2098A" w14:paraId="3804B590" w14:textId="77777777" w:rsidTr="00D2098A">
        <w:trPr>
          <w:trHeight w:val="624"/>
          <w:jc w:val="center"/>
        </w:trPr>
        <w:tc>
          <w:tcPr>
            <w:tcW w:w="2318" w:type="dxa"/>
            <w:vMerge w:val="restart"/>
            <w:shd w:val="clear" w:color="auto" w:fill="DAEEF3"/>
            <w:tcMar>
              <w:top w:w="15" w:type="dxa"/>
              <w:left w:w="97" w:type="dxa"/>
              <w:bottom w:w="0" w:type="dxa"/>
              <w:right w:w="97" w:type="dxa"/>
            </w:tcMar>
            <w:vAlign w:val="center"/>
            <w:hideMark/>
          </w:tcPr>
          <w:p w14:paraId="4F9FD8B8" w14:textId="77777777" w:rsidR="00D954ED" w:rsidRPr="00D2098A" w:rsidRDefault="00D954ED" w:rsidP="00D954ED">
            <w:pPr>
              <w:jc w:val="center"/>
              <w:rPr>
                <w:rFonts w:asciiTheme="minorHAnsi" w:hAnsiTheme="minorHAnsi"/>
                <w:kern w:val="24"/>
                <w:lang w:eastAsia="es-MX"/>
              </w:rPr>
            </w:pPr>
            <w:r w:rsidRPr="00D2098A">
              <w:rPr>
                <w:rFonts w:asciiTheme="minorHAnsi" w:hAnsiTheme="minorHAnsi"/>
                <w:kern w:val="24"/>
                <w:lang w:eastAsia="es-MX"/>
              </w:rPr>
              <w:t>Cumplimiento</w:t>
            </w:r>
          </w:p>
          <w:p w14:paraId="4249E894"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kern w:val="24"/>
                <w:lang w:eastAsia="es-MX"/>
              </w:rPr>
              <w:t>RETAIPDF</w:t>
            </w:r>
          </w:p>
        </w:tc>
        <w:tc>
          <w:tcPr>
            <w:tcW w:w="4442" w:type="dxa"/>
            <w:shd w:val="clear" w:color="auto" w:fill="DAEEF3"/>
            <w:tcMar>
              <w:top w:w="15" w:type="dxa"/>
              <w:left w:w="97" w:type="dxa"/>
              <w:bottom w:w="0" w:type="dxa"/>
              <w:right w:w="97" w:type="dxa"/>
            </w:tcMar>
            <w:vAlign w:val="center"/>
            <w:hideMark/>
          </w:tcPr>
          <w:p w14:paraId="286C5886"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kern w:val="24"/>
                <w:lang w:eastAsia="es-MX"/>
              </w:rPr>
              <w:t>Nombramiento o Ratificación del Responsable de Capacitación</w:t>
            </w:r>
          </w:p>
        </w:tc>
        <w:tc>
          <w:tcPr>
            <w:tcW w:w="1842" w:type="dxa"/>
            <w:shd w:val="clear" w:color="auto" w:fill="DAEEF3"/>
            <w:tcMar>
              <w:top w:w="15" w:type="dxa"/>
              <w:left w:w="97" w:type="dxa"/>
              <w:bottom w:w="0" w:type="dxa"/>
              <w:right w:w="97" w:type="dxa"/>
            </w:tcMar>
            <w:vAlign w:val="center"/>
            <w:hideMark/>
          </w:tcPr>
          <w:p w14:paraId="5F8CCF97"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b/>
                <w:bCs/>
                <w:kern w:val="24"/>
                <w:lang w:eastAsia="es-MX"/>
              </w:rPr>
              <w:t>10.0%</w:t>
            </w:r>
          </w:p>
        </w:tc>
      </w:tr>
      <w:tr w:rsidR="00D2098A" w:rsidRPr="00D2098A" w14:paraId="354110C3" w14:textId="77777777" w:rsidTr="00D2098A">
        <w:trPr>
          <w:trHeight w:val="624"/>
          <w:jc w:val="center"/>
        </w:trPr>
        <w:tc>
          <w:tcPr>
            <w:tcW w:w="2318" w:type="dxa"/>
            <w:vMerge/>
            <w:vAlign w:val="center"/>
            <w:hideMark/>
          </w:tcPr>
          <w:p w14:paraId="27B629C2" w14:textId="77777777" w:rsidR="00D954ED" w:rsidRPr="00D2098A" w:rsidRDefault="00D954ED" w:rsidP="00D954ED">
            <w:pPr>
              <w:jc w:val="center"/>
              <w:rPr>
                <w:rFonts w:asciiTheme="minorHAnsi" w:eastAsia="Times New Roman" w:hAnsiTheme="minorHAnsi" w:cs="Arial"/>
                <w:lang w:eastAsia="es-MX"/>
              </w:rPr>
            </w:pPr>
          </w:p>
        </w:tc>
        <w:tc>
          <w:tcPr>
            <w:tcW w:w="4442" w:type="dxa"/>
            <w:shd w:val="clear" w:color="auto" w:fill="DAEEF3"/>
            <w:tcMar>
              <w:top w:w="15" w:type="dxa"/>
              <w:left w:w="97" w:type="dxa"/>
              <w:bottom w:w="0" w:type="dxa"/>
              <w:right w:w="97" w:type="dxa"/>
            </w:tcMar>
            <w:vAlign w:val="center"/>
            <w:hideMark/>
          </w:tcPr>
          <w:p w14:paraId="126CC628"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kern w:val="24"/>
                <w:lang w:eastAsia="es-MX"/>
              </w:rPr>
              <w:t>Asistencia del Responsable de Capacitación a las reuniones de la RETAIPDF</w:t>
            </w:r>
          </w:p>
        </w:tc>
        <w:tc>
          <w:tcPr>
            <w:tcW w:w="1842" w:type="dxa"/>
            <w:shd w:val="clear" w:color="auto" w:fill="DAEEF3"/>
            <w:tcMar>
              <w:top w:w="15" w:type="dxa"/>
              <w:left w:w="97" w:type="dxa"/>
              <w:bottom w:w="0" w:type="dxa"/>
              <w:right w:w="97" w:type="dxa"/>
            </w:tcMar>
            <w:vAlign w:val="center"/>
            <w:hideMark/>
          </w:tcPr>
          <w:p w14:paraId="71FA955D"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b/>
                <w:bCs/>
                <w:kern w:val="24"/>
                <w:lang w:eastAsia="es-MX"/>
              </w:rPr>
              <w:t>10.0%</w:t>
            </w:r>
          </w:p>
        </w:tc>
      </w:tr>
      <w:tr w:rsidR="00D2098A" w:rsidRPr="00D2098A" w14:paraId="0A867226" w14:textId="77777777" w:rsidTr="00D2098A">
        <w:trPr>
          <w:trHeight w:val="624"/>
          <w:jc w:val="center"/>
        </w:trPr>
        <w:tc>
          <w:tcPr>
            <w:tcW w:w="2318" w:type="dxa"/>
            <w:vMerge/>
            <w:tcBorders>
              <w:bottom w:val="single" w:sz="6" w:space="0" w:color="009999"/>
            </w:tcBorders>
            <w:vAlign w:val="center"/>
            <w:hideMark/>
          </w:tcPr>
          <w:p w14:paraId="1C2CEBF9" w14:textId="77777777" w:rsidR="00D954ED" w:rsidRPr="00D2098A" w:rsidRDefault="00D954ED" w:rsidP="00D954ED">
            <w:pPr>
              <w:jc w:val="center"/>
              <w:rPr>
                <w:rFonts w:asciiTheme="minorHAnsi" w:eastAsia="Times New Roman" w:hAnsiTheme="minorHAnsi" w:cs="Arial"/>
                <w:lang w:eastAsia="es-MX"/>
              </w:rPr>
            </w:pPr>
          </w:p>
        </w:tc>
        <w:tc>
          <w:tcPr>
            <w:tcW w:w="4442" w:type="dxa"/>
            <w:tcBorders>
              <w:bottom w:val="single" w:sz="6" w:space="0" w:color="009999"/>
            </w:tcBorders>
            <w:shd w:val="clear" w:color="auto" w:fill="DAEEF3"/>
            <w:tcMar>
              <w:top w:w="15" w:type="dxa"/>
              <w:left w:w="97" w:type="dxa"/>
              <w:bottom w:w="0" w:type="dxa"/>
              <w:right w:w="97" w:type="dxa"/>
            </w:tcMar>
            <w:vAlign w:val="center"/>
            <w:hideMark/>
          </w:tcPr>
          <w:p w14:paraId="02656EDA"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kern w:val="24"/>
                <w:lang w:eastAsia="es-MX"/>
              </w:rPr>
              <w:t>Cumplimiento de los acuerdos establecidos en la RETAIPDF</w:t>
            </w:r>
          </w:p>
        </w:tc>
        <w:tc>
          <w:tcPr>
            <w:tcW w:w="1842" w:type="dxa"/>
            <w:shd w:val="clear" w:color="auto" w:fill="DAEEF3"/>
            <w:tcMar>
              <w:top w:w="15" w:type="dxa"/>
              <w:left w:w="97" w:type="dxa"/>
              <w:bottom w:w="0" w:type="dxa"/>
              <w:right w:w="97" w:type="dxa"/>
            </w:tcMar>
            <w:vAlign w:val="center"/>
            <w:hideMark/>
          </w:tcPr>
          <w:p w14:paraId="085A47F0"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b/>
                <w:bCs/>
                <w:kern w:val="24"/>
                <w:lang w:eastAsia="es-MX"/>
              </w:rPr>
              <w:t>10.0%</w:t>
            </w:r>
          </w:p>
        </w:tc>
      </w:tr>
      <w:tr w:rsidR="00D2098A" w:rsidRPr="00D2098A" w14:paraId="1F7DCD99" w14:textId="77777777" w:rsidTr="00D2098A">
        <w:trPr>
          <w:trHeight w:val="397"/>
          <w:jc w:val="center"/>
        </w:trPr>
        <w:tc>
          <w:tcPr>
            <w:tcW w:w="6760" w:type="dxa"/>
            <w:gridSpan w:val="2"/>
            <w:tcBorders>
              <w:left w:val="single" w:sz="6" w:space="0" w:color="FFFFFF"/>
              <w:bottom w:val="single" w:sz="6" w:space="0" w:color="FFFFFF"/>
            </w:tcBorders>
            <w:shd w:val="clear" w:color="auto" w:fill="auto"/>
            <w:tcMar>
              <w:top w:w="15" w:type="dxa"/>
              <w:left w:w="97" w:type="dxa"/>
              <w:bottom w:w="0" w:type="dxa"/>
              <w:right w:w="97" w:type="dxa"/>
            </w:tcMar>
            <w:vAlign w:val="center"/>
            <w:hideMark/>
          </w:tcPr>
          <w:p w14:paraId="62D5C980" w14:textId="77777777" w:rsidR="00D954ED" w:rsidRPr="00D2098A" w:rsidRDefault="00D954ED" w:rsidP="00D954ED">
            <w:pPr>
              <w:jc w:val="right"/>
              <w:rPr>
                <w:rFonts w:asciiTheme="minorHAnsi" w:eastAsia="Times New Roman" w:hAnsiTheme="minorHAnsi" w:cs="Arial"/>
                <w:lang w:eastAsia="es-MX"/>
              </w:rPr>
            </w:pPr>
            <w:r w:rsidRPr="00D2098A">
              <w:rPr>
                <w:rFonts w:asciiTheme="minorHAnsi" w:hAnsiTheme="minorHAnsi"/>
                <w:b/>
                <w:bCs/>
                <w:kern w:val="24"/>
                <w:lang w:eastAsia="es-MX"/>
              </w:rPr>
              <w:t>TOTAL</w:t>
            </w:r>
          </w:p>
        </w:tc>
        <w:tc>
          <w:tcPr>
            <w:tcW w:w="1842" w:type="dxa"/>
            <w:shd w:val="clear" w:color="auto" w:fill="auto"/>
            <w:tcMar>
              <w:top w:w="15" w:type="dxa"/>
              <w:left w:w="97" w:type="dxa"/>
              <w:bottom w:w="0" w:type="dxa"/>
              <w:right w:w="97" w:type="dxa"/>
            </w:tcMar>
            <w:vAlign w:val="center"/>
            <w:hideMark/>
          </w:tcPr>
          <w:p w14:paraId="3EA01CCE" w14:textId="77777777" w:rsidR="00D954ED" w:rsidRPr="00D2098A" w:rsidRDefault="00D954ED" w:rsidP="00D954ED">
            <w:pPr>
              <w:jc w:val="center"/>
              <w:rPr>
                <w:rFonts w:asciiTheme="minorHAnsi" w:eastAsia="Times New Roman" w:hAnsiTheme="minorHAnsi" w:cs="Arial"/>
                <w:lang w:eastAsia="es-MX"/>
              </w:rPr>
            </w:pPr>
            <w:r w:rsidRPr="00D2098A">
              <w:rPr>
                <w:rFonts w:asciiTheme="minorHAnsi" w:hAnsiTheme="minorHAnsi"/>
                <w:b/>
                <w:bCs/>
                <w:kern w:val="24"/>
                <w:lang w:eastAsia="es-MX"/>
              </w:rPr>
              <w:t>100%</w:t>
            </w:r>
          </w:p>
        </w:tc>
      </w:tr>
    </w:tbl>
    <w:p w14:paraId="38453A5A" w14:textId="77777777" w:rsidR="00E60AC5" w:rsidRPr="00D2098A" w:rsidRDefault="00E60AC5" w:rsidP="007A7716">
      <w:pPr>
        <w:rPr>
          <w:rFonts w:asciiTheme="minorHAnsi" w:hAnsiTheme="minorHAnsi"/>
          <w:lang w:val="es-MX"/>
        </w:rPr>
      </w:pPr>
    </w:p>
    <w:p w14:paraId="52DC6B61" w14:textId="77777777" w:rsidR="00F257A0" w:rsidRPr="00D2098A" w:rsidRDefault="004F7197" w:rsidP="00D62EA9">
      <w:pPr>
        <w:rPr>
          <w:rFonts w:asciiTheme="minorHAnsi" w:hAnsiTheme="minorHAnsi"/>
          <w:lang w:val="es-MX"/>
        </w:rPr>
      </w:pPr>
      <w:r w:rsidRPr="00D2098A">
        <w:rPr>
          <w:rFonts w:asciiTheme="minorHAnsi" w:hAnsiTheme="minorHAnsi"/>
          <w:lang w:val="es-MX"/>
        </w:rPr>
        <w:t xml:space="preserve">Las acciones de capacitación en materia de transparencia se valorarán </w:t>
      </w:r>
      <w:r w:rsidR="00472C18" w:rsidRPr="00D2098A">
        <w:rPr>
          <w:rFonts w:asciiTheme="minorHAnsi" w:hAnsiTheme="minorHAnsi"/>
          <w:lang w:val="es-MX"/>
        </w:rPr>
        <w:t xml:space="preserve">en </w:t>
      </w:r>
      <w:r w:rsidRPr="00D2098A">
        <w:rPr>
          <w:rFonts w:asciiTheme="minorHAnsi" w:hAnsiTheme="minorHAnsi"/>
          <w:lang w:val="es-MX"/>
        </w:rPr>
        <w:t xml:space="preserve">dos grandes rubros: </w:t>
      </w:r>
      <w:r w:rsidR="00472C18" w:rsidRPr="00D2098A">
        <w:rPr>
          <w:rFonts w:asciiTheme="minorHAnsi" w:hAnsiTheme="minorHAnsi"/>
          <w:lang w:val="es-MX"/>
        </w:rPr>
        <w:t>las contenidas en</w:t>
      </w:r>
      <w:r w:rsidR="00A61005" w:rsidRPr="00D2098A">
        <w:rPr>
          <w:rFonts w:asciiTheme="minorHAnsi" w:hAnsiTheme="minorHAnsi"/>
          <w:lang w:val="es-MX"/>
        </w:rPr>
        <w:t xml:space="preserve"> la vertiente</w:t>
      </w:r>
      <w:r w:rsidR="00472C18" w:rsidRPr="00D2098A">
        <w:rPr>
          <w:rFonts w:asciiTheme="minorHAnsi" w:hAnsiTheme="minorHAnsi"/>
          <w:lang w:val="es-MX"/>
        </w:rPr>
        <w:t xml:space="preserve"> </w:t>
      </w:r>
      <w:r w:rsidRPr="00D2098A">
        <w:rPr>
          <w:rFonts w:asciiTheme="minorHAnsi" w:hAnsiTheme="minorHAnsi"/>
          <w:i/>
          <w:lang w:val="es-MX"/>
        </w:rPr>
        <w:t>Capacitación</w:t>
      </w:r>
      <w:r w:rsidR="00EF728C" w:rsidRPr="00D2098A">
        <w:rPr>
          <w:rFonts w:asciiTheme="minorHAnsi" w:hAnsiTheme="minorHAnsi"/>
          <w:i/>
          <w:lang w:val="es-MX"/>
        </w:rPr>
        <w:t xml:space="preserve"> mediante cursos</w:t>
      </w:r>
      <w:r w:rsidRPr="00D2098A">
        <w:rPr>
          <w:rFonts w:asciiTheme="minorHAnsi" w:hAnsiTheme="minorHAnsi"/>
          <w:i/>
          <w:lang w:val="es-MX"/>
        </w:rPr>
        <w:t xml:space="preserve">, </w:t>
      </w:r>
      <w:r w:rsidR="00472C18" w:rsidRPr="00D2098A">
        <w:rPr>
          <w:rFonts w:asciiTheme="minorHAnsi" w:hAnsiTheme="minorHAnsi"/>
          <w:lang w:val="es-MX"/>
        </w:rPr>
        <w:t>y</w:t>
      </w:r>
      <w:r w:rsidR="00472C18" w:rsidRPr="00D2098A">
        <w:rPr>
          <w:rFonts w:asciiTheme="minorHAnsi" w:hAnsiTheme="minorHAnsi"/>
          <w:i/>
          <w:lang w:val="es-MX"/>
        </w:rPr>
        <w:t xml:space="preserve"> </w:t>
      </w:r>
      <w:r w:rsidR="00472C18" w:rsidRPr="00D2098A">
        <w:rPr>
          <w:rFonts w:asciiTheme="minorHAnsi" w:hAnsiTheme="minorHAnsi"/>
          <w:lang w:val="es-MX"/>
        </w:rPr>
        <w:t xml:space="preserve">las agrupadas en </w:t>
      </w:r>
      <w:r w:rsidRPr="00D2098A">
        <w:rPr>
          <w:rFonts w:asciiTheme="minorHAnsi" w:hAnsiTheme="minorHAnsi"/>
          <w:lang w:val="es-MX"/>
        </w:rPr>
        <w:t xml:space="preserve">el denominado </w:t>
      </w:r>
      <w:r w:rsidRPr="00D2098A">
        <w:rPr>
          <w:rFonts w:asciiTheme="minorHAnsi" w:hAnsiTheme="minorHAnsi"/>
          <w:i/>
          <w:lang w:val="es-MX"/>
        </w:rPr>
        <w:t>cumplimiento RETAIPDF</w:t>
      </w:r>
      <w:r w:rsidR="00484B46" w:rsidRPr="00D2098A">
        <w:rPr>
          <w:rFonts w:asciiTheme="minorHAnsi" w:hAnsiTheme="minorHAnsi"/>
          <w:i/>
          <w:lang w:val="es-MX"/>
        </w:rPr>
        <w:t>;</w:t>
      </w:r>
      <w:r w:rsidR="00472C18" w:rsidRPr="00D2098A">
        <w:rPr>
          <w:rFonts w:asciiTheme="minorHAnsi" w:hAnsiTheme="minorHAnsi"/>
          <w:i/>
          <w:lang w:val="es-MX"/>
        </w:rPr>
        <w:t xml:space="preserve"> </w:t>
      </w:r>
      <w:r w:rsidR="00484B46" w:rsidRPr="00D2098A">
        <w:rPr>
          <w:rFonts w:asciiTheme="minorHAnsi" w:hAnsiTheme="minorHAnsi"/>
          <w:lang w:val="es-MX"/>
        </w:rPr>
        <w:t xml:space="preserve">en ambos casos se </w:t>
      </w:r>
      <w:r w:rsidR="00DF2E9C" w:rsidRPr="00D2098A">
        <w:rPr>
          <w:rFonts w:asciiTheme="minorHAnsi" w:hAnsiTheme="minorHAnsi"/>
          <w:lang w:val="es-MX"/>
        </w:rPr>
        <w:t>asignan diferentes ponderaciones a los conceptos que los integran</w:t>
      </w:r>
      <w:r w:rsidR="000F5B03" w:rsidRPr="00D2098A">
        <w:rPr>
          <w:rFonts w:asciiTheme="minorHAnsi" w:hAnsiTheme="minorHAnsi"/>
          <w:lang w:val="es-MX"/>
        </w:rPr>
        <w:t>,</w:t>
      </w:r>
      <w:r w:rsidR="00A61005" w:rsidRPr="00D2098A">
        <w:rPr>
          <w:rFonts w:asciiTheme="minorHAnsi" w:hAnsiTheme="minorHAnsi"/>
          <w:lang w:val="es-MX"/>
        </w:rPr>
        <w:t xml:space="preserve"> acorde </w:t>
      </w:r>
      <w:r w:rsidR="00470616" w:rsidRPr="00D2098A">
        <w:rPr>
          <w:rFonts w:asciiTheme="minorHAnsi" w:hAnsiTheme="minorHAnsi"/>
          <w:lang w:val="es-MX"/>
        </w:rPr>
        <w:t xml:space="preserve">a su </w:t>
      </w:r>
      <w:r w:rsidR="00A61005" w:rsidRPr="00D2098A">
        <w:rPr>
          <w:rFonts w:asciiTheme="minorHAnsi" w:hAnsiTheme="minorHAnsi"/>
          <w:lang w:val="es-MX"/>
        </w:rPr>
        <w:t>grado de importancia</w:t>
      </w:r>
      <w:r w:rsidR="00F257A0" w:rsidRPr="00D2098A">
        <w:rPr>
          <w:rFonts w:asciiTheme="minorHAnsi" w:hAnsiTheme="minorHAnsi"/>
          <w:lang w:val="es-MX"/>
        </w:rPr>
        <w:t>.</w:t>
      </w:r>
    </w:p>
    <w:p w14:paraId="6D105C86" w14:textId="77777777" w:rsidR="00F257A0" w:rsidRPr="00D2098A" w:rsidRDefault="00F257A0" w:rsidP="00D62EA9">
      <w:pPr>
        <w:rPr>
          <w:rFonts w:asciiTheme="minorHAnsi" w:hAnsiTheme="minorHAnsi"/>
          <w:lang w:val="es-MX"/>
        </w:rPr>
      </w:pPr>
    </w:p>
    <w:p w14:paraId="27BA7D4A" w14:textId="3085DA6E" w:rsidR="00520DA8" w:rsidRPr="00D2098A" w:rsidRDefault="00A61005" w:rsidP="00520DA8">
      <w:pPr>
        <w:rPr>
          <w:rFonts w:asciiTheme="minorHAnsi" w:hAnsiTheme="minorHAnsi"/>
          <w:lang w:val="es-MX"/>
        </w:rPr>
      </w:pPr>
      <w:r w:rsidRPr="00D2098A">
        <w:rPr>
          <w:rFonts w:asciiTheme="minorHAnsi" w:hAnsiTheme="minorHAnsi"/>
          <w:lang w:val="es-MX"/>
        </w:rPr>
        <w:t xml:space="preserve">La suma de las ponderaciones de los tres componentes de </w:t>
      </w:r>
      <w:r w:rsidR="00337D2F" w:rsidRPr="00D2098A">
        <w:rPr>
          <w:rFonts w:asciiTheme="minorHAnsi" w:hAnsiTheme="minorHAnsi"/>
          <w:i/>
          <w:lang w:val="es-MX"/>
        </w:rPr>
        <w:t>C</w:t>
      </w:r>
      <w:r w:rsidR="00484B46" w:rsidRPr="00D2098A">
        <w:rPr>
          <w:rFonts w:asciiTheme="minorHAnsi" w:hAnsiTheme="minorHAnsi"/>
          <w:i/>
          <w:lang w:val="es-MX"/>
        </w:rPr>
        <w:t>apacitación mediante cursos,</w:t>
      </w:r>
      <w:r w:rsidR="00484B46" w:rsidRPr="00D2098A">
        <w:rPr>
          <w:rFonts w:asciiTheme="minorHAnsi" w:hAnsiTheme="minorHAnsi"/>
          <w:lang w:val="es-MX"/>
        </w:rPr>
        <w:t xml:space="preserve"> representará el 70 por ciento del total del </w:t>
      </w:r>
      <w:r w:rsidR="00484B46" w:rsidRPr="00D2098A">
        <w:rPr>
          <w:rFonts w:asciiTheme="minorHAnsi" w:hAnsiTheme="minorHAnsi"/>
          <w:i/>
          <w:lang w:val="es-MX"/>
        </w:rPr>
        <w:t xml:space="preserve">índice </w:t>
      </w:r>
      <w:r w:rsidR="000F5B03" w:rsidRPr="00D2098A">
        <w:rPr>
          <w:rFonts w:asciiTheme="minorHAnsi" w:hAnsiTheme="minorHAnsi"/>
          <w:i/>
          <w:lang w:val="es-MX"/>
        </w:rPr>
        <w:t xml:space="preserve">de </w:t>
      </w:r>
      <w:r w:rsidR="00484B46" w:rsidRPr="00D2098A">
        <w:rPr>
          <w:rFonts w:asciiTheme="minorHAnsi" w:hAnsiTheme="minorHAnsi"/>
          <w:i/>
          <w:lang w:val="es-MX"/>
        </w:rPr>
        <w:t>Acciones de Capacitación</w:t>
      </w:r>
      <w:r w:rsidR="00337D2F" w:rsidRPr="00D2098A">
        <w:rPr>
          <w:rFonts w:asciiTheme="minorHAnsi" w:hAnsiTheme="minorHAnsi"/>
          <w:lang w:val="es-MX"/>
        </w:rPr>
        <w:t>, de acuerdo a lo siguiente</w:t>
      </w:r>
      <w:r w:rsidRPr="00D2098A">
        <w:rPr>
          <w:rFonts w:asciiTheme="minorHAnsi" w:hAnsiTheme="minorHAnsi"/>
          <w:lang w:val="es-MX"/>
        </w:rPr>
        <w:t xml:space="preserve">: la Certificación de 100% de funcionarios públicos capacitados </w:t>
      </w:r>
      <w:r w:rsidR="00F257A0" w:rsidRPr="00D2098A">
        <w:rPr>
          <w:rFonts w:asciiTheme="minorHAnsi" w:hAnsiTheme="minorHAnsi"/>
          <w:lang w:val="es-MX"/>
        </w:rPr>
        <w:t>durante 201</w:t>
      </w:r>
      <w:r w:rsidR="005F527E">
        <w:rPr>
          <w:rFonts w:asciiTheme="minorHAnsi" w:hAnsiTheme="minorHAnsi"/>
          <w:lang w:val="es-MX"/>
        </w:rPr>
        <w:t>4</w:t>
      </w:r>
      <w:r w:rsidR="00F257A0" w:rsidRPr="00D2098A">
        <w:rPr>
          <w:rFonts w:asciiTheme="minorHAnsi" w:hAnsiTheme="minorHAnsi"/>
          <w:lang w:val="es-MX"/>
        </w:rPr>
        <w:t xml:space="preserve"> </w:t>
      </w:r>
      <w:r w:rsidRPr="00D2098A">
        <w:rPr>
          <w:rFonts w:asciiTheme="minorHAnsi" w:hAnsiTheme="minorHAnsi"/>
          <w:lang w:val="es-MX"/>
        </w:rPr>
        <w:t xml:space="preserve">en la LTAIPDF vale 37.5 por ciento, </w:t>
      </w:r>
      <w:r w:rsidR="00F257A0" w:rsidRPr="00D2098A">
        <w:rPr>
          <w:rFonts w:asciiTheme="minorHAnsi" w:hAnsiTheme="minorHAnsi"/>
          <w:lang w:val="es-MX"/>
        </w:rPr>
        <w:t xml:space="preserve">mientras </w:t>
      </w:r>
      <w:r w:rsidRPr="00D2098A">
        <w:rPr>
          <w:rFonts w:asciiTheme="minorHAnsi" w:hAnsiTheme="minorHAnsi"/>
          <w:lang w:val="es-MX"/>
        </w:rPr>
        <w:t xml:space="preserve">que la Certificación de 100% de funcionarios públicos capacitados </w:t>
      </w:r>
      <w:r w:rsidR="00F257A0" w:rsidRPr="00D2098A">
        <w:rPr>
          <w:rFonts w:asciiTheme="minorHAnsi" w:hAnsiTheme="minorHAnsi"/>
          <w:lang w:val="es-MX"/>
        </w:rPr>
        <w:t>durante 201</w:t>
      </w:r>
      <w:r w:rsidR="005F527E">
        <w:rPr>
          <w:rFonts w:asciiTheme="minorHAnsi" w:hAnsiTheme="minorHAnsi"/>
          <w:lang w:val="es-MX"/>
        </w:rPr>
        <w:t>4</w:t>
      </w:r>
      <w:r w:rsidR="00F257A0" w:rsidRPr="00D2098A">
        <w:rPr>
          <w:rFonts w:asciiTheme="minorHAnsi" w:hAnsiTheme="minorHAnsi"/>
          <w:lang w:val="es-MX"/>
        </w:rPr>
        <w:t xml:space="preserve"> </w:t>
      </w:r>
      <w:r w:rsidRPr="00D2098A">
        <w:rPr>
          <w:rFonts w:asciiTheme="minorHAnsi" w:hAnsiTheme="minorHAnsi"/>
          <w:lang w:val="es-MX"/>
        </w:rPr>
        <w:t xml:space="preserve">en Ética Pública </w:t>
      </w:r>
      <w:r w:rsidR="00337D2F" w:rsidRPr="00D2098A">
        <w:rPr>
          <w:rFonts w:asciiTheme="minorHAnsi" w:hAnsiTheme="minorHAnsi"/>
          <w:lang w:val="es-MX"/>
        </w:rPr>
        <w:t xml:space="preserve">representa el </w:t>
      </w:r>
      <w:r w:rsidRPr="00D2098A">
        <w:rPr>
          <w:rFonts w:asciiTheme="minorHAnsi" w:hAnsiTheme="minorHAnsi"/>
          <w:lang w:val="es-MX"/>
        </w:rPr>
        <w:t>15.0</w:t>
      </w:r>
      <w:r w:rsidR="00337D2F" w:rsidRPr="00D2098A">
        <w:rPr>
          <w:rFonts w:asciiTheme="minorHAnsi" w:hAnsiTheme="minorHAnsi"/>
          <w:lang w:val="es-MX"/>
        </w:rPr>
        <w:t xml:space="preserve"> por ciento</w:t>
      </w:r>
      <w:r w:rsidR="00CE3923" w:rsidRPr="00D2098A">
        <w:rPr>
          <w:rFonts w:asciiTheme="minorHAnsi" w:hAnsiTheme="minorHAnsi"/>
        </w:rPr>
        <w:t xml:space="preserve">; </w:t>
      </w:r>
      <w:r w:rsidR="00F257A0" w:rsidRPr="00D2098A">
        <w:rPr>
          <w:rFonts w:asciiTheme="minorHAnsi" w:hAnsiTheme="minorHAnsi"/>
          <w:lang w:val="es-MX"/>
        </w:rPr>
        <w:t>en tanto que todo lo</w:t>
      </w:r>
      <w:r w:rsidRPr="00D2098A">
        <w:rPr>
          <w:rFonts w:asciiTheme="minorHAnsi" w:hAnsiTheme="minorHAnsi"/>
          <w:lang w:val="es-MX"/>
        </w:rPr>
        <w:t xml:space="preserve"> relacionado con la participación</w:t>
      </w:r>
      <w:r w:rsidR="00470616" w:rsidRPr="00D2098A">
        <w:rPr>
          <w:rFonts w:asciiTheme="minorHAnsi" w:hAnsiTheme="minorHAnsi"/>
          <w:lang w:val="es-MX"/>
        </w:rPr>
        <w:t xml:space="preserve"> de los Entes</w:t>
      </w:r>
      <w:r w:rsidRPr="00D2098A">
        <w:rPr>
          <w:rFonts w:asciiTheme="minorHAnsi" w:hAnsiTheme="minorHAnsi"/>
          <w:lang w:val="es-MX"/>
        </w:rPr>
        <w:t xml:space="preserve"> en los cursos que integran el Programa de Capacitación Modular del Instituto </w:t>
      </w:r>
      <w:r w:rsidR="00337D2F" w:rsidRPr="00D2098A">
        <w:rPr>
          <w:rFonts w:asciiTheme="minorHAnsi" w:hAnsiTheme="minorHAnsi"/>
          <w:lang w:val="es-MX"/>
        </w:rPr>
        <w:t>asumirá el 17.5 por ciento.</w:t>
      </w:r>
      <w:r w:rsidR="00520DA8" w:rsidRPr="00D2098A">
        <w:rPr>
          <w:rFonts w:asciiTheme="minorHAnsi" w:hAnsiTheme="minorHAnsi"/>
          <w:lang w:val="es-MX"/>
        </w:rPr>
        <w:t xml:space="preserve"> </w:t>
      </w:r>
    </w:p>
    <w:p w14:paraId="3865360F" w14:textId="77777777" w:rsidR="00520DA8" w:rsidRPr="00D2098A" w:rsidRDefault="00520DA8" w:rsidP="00520DA8">
      <w:pPr>
        <w:rPr>
          <w:rFonts w:asciiTheme="minorHAnsi" w:hAnsiTheme="minorHAnsi"/>
        </w:rPr>
      </w:pPr>
    </w:p>
    <w:p w14:paraId="1DD79D71" w14:textId="3274C692" w:rsidR="00DC2F2A" w:rsidRPr="00D2098A" w:rsidRDefault="00470616" w:rsidP="00520DA8">
      <w:pPr>
        <w:rPr>
          <w:rFonts w:asciiTheme="minorHAnsi" w:hAnsiTheme="minorHAnsi"/>
          <w:highlight w:val="yellow"/>
        </w:rPr>
      </w:pPr>
      <w:r w:rsidRPr="00D2098A">
        <w:rPr>
          <w:rFonts w:asciiTheme="minorHAnsi" w:hAnsiTheme="minorHAnsi"/>
        </w:rPr>
        <w:t>R</w:t>
      </w:r>
      <w:r w:rsidR="00DC2F2A" w:rsidRPr="00D2098A">
        <w:rPr>
          <w:rFonts w:asciiTheme="minorHAnsi" w:hAnsiTheme="minorHAnsi"/>
        </w:rPr>
        <w:t xml:space="preserve">especto al </w:t>
      </w:r>
      <w:r w:rsidR="00DC2F2A" w:rsidRPr="00D2098A">
        <w:rPr>
          <w:rFonts w:asciiTheme="minorHAnsi" w:hAnsiTheme="minorHAnsi"/>
          <w:i/>
        </w:rPr>
        <w:t>Programa de Capacitación Modular</w:t>
      </w:r>
      <w:r w:rsidR="00DC2F2A" w:rsidRPr="00D2098A">
        <w:rPr>
          <w:rFonts w:asciiTheme="minorHAnsi" w:hAnsiTheme="minorHAnsi"/>
        </w:rPr>
        <w:t>,</w:t>
      </w:r>
      <w:r w:rsidRPr="00D2098A">
        <w:rPr>
          <w:rFonts w:asciiTheme="minorHAnsi" w:hAnsiTheme="minorHAnsi"/>
        </w:rPr>
        <w:t xml:space="preserve"> el peso de 17.5 por c</w:t>
      </w:r>
      <w:r w:rsidR="005F527E">
        <w:rPr>
          <w:rFonts w:asciiTheme="minorHAnsi" w:hAnsiTheme="minorHAnsi"/>
        </w:rPr>
        <w:t>i</w:t>
      </w:r>
      <w:r w:rsidRPr="00D2098A">
        <w:rPr>
          <w:rFonts w:asciiTheme="minorHAnsi" w:hAnsiTheme="minorHAnsi"/>
        </w:rPr>
        <w:t xml:space="preserve">ento </w:t>
      </w:r>
      <w:r w:rsidR="00DC2F2A" w:rsidRPr="00D2098A">
        <w:rPr>
          <w:rFonts w:asciiTheme="minorHAnsi" w:hAnsiTheme="minorHAnsi"/>
        </w:rPr>
        <w:t>se asignará en forma proporcional al número de cursos concluidos que integran el Programa correspondiente, por parte de los Titulares de Oficinas de Información Pública y Responsables de Capacitación de los Entes Obligados.</w:t>
      </w:r>
    </w:p>
    <w:p w14:paraId="73BFB02B" w14:textId="77777777" w:rsidR="00DC2F2A" w:rsidRPr="00D2098A" w:rsidRDefault="00DC2F2A" w:rsidP="00DC2F2A">
      <w:pPr>
        <w:tabs>
          <w:tab w:val="left" w:pos="2370"/>
        </w:tabs>
        <w:rPr>
          <w:rFonts w:asciiTheme="minorHAnsi" w:hAnsiTheme="minorHAnsi"/>
          <w:highlight w:val="yellow"/>
        </w:rPr>
      </w:pPr>
    </w:p>
    <w:p w14:paraId="1BD663B3" w14:textId="77777777" w:rsidR="00DC2F2A" w:rsidRPr="00D2098A" w:rsidRDefault="00DC2F2A" w:rsidP="00DC2F2A">
      <w:pPr>
        <w:tabs>
          <w:tab w:val="left" w:pos="2370"/>
        </w:tabs>
        <w:rPr>
          <w:rFonts w:asciiTheme="minorHAnsi" w:hAnsiTheme="minorHAnsi"/>
          <w:highlight w:val="yellow"/>
        </w:rPr>
      </w:pPr>
      <w:r w:rsidRPr="00D2098A">
        <w:rPr>
          <w:rFonts w:asciiTheme="minorHAnsi" w:hAnsiTheme="minorHAnsi"/>
        </w:rPr>
        <w:t xml:space="preserve">El segundo </w:t>
      </w:r>
      <w:r w:rsidR="00520DA8" w:rsidRPr="00D2098A">
        <w:rPr>
          <w:rFonts w:asciiTheme="minorHAnsi" w:hAnsiTheme="minorHAnsi"/>
        </w:rPr>
        <w:t xml:space="preserve">rubro </w:t>
      </w:r>
      <w:r w:rsidRPr="00D2098A">
        <w:rPr>
          <w:rFonts w:asciiTheme="minorHAnsi" w:hAnsiTheme="minorHAnsi"/>
        </w:rPr>
        <w:t>a evaluar denominado “Cumplimiento RETAIPDF”, contará con una ponderación del 30</w:t>
      </w:r>
      <w:r w:rsidR="00CE3923" w:rsidRPr="00D2098A">
        <w:rPr>
          <w:rFonts w:asciiTheme="minorHAnsi" w:hAnsiTheme="minorHAnsi"/>
        </w:rPr>
        <w:t xml:space="preserve"> por ciento </w:t>
      </w:r>
      <w:r w:rsidRPr="00D2098A">
        <w:rPr>
          <w:rFonts w:asciiTheme="minorHAnsi" w:hAnsiTheme="minorHAnsi"/>
        </w:rPr>
        <w:t xml:space="preserve">del total del Índice de Acciones de Capacitación </w:t>
      </w:r>
      <w:r w:rsidRPr="00D2098A">
        <w:rPr>
          <w:rFonts w:asciiTheme="minorHAnsi" w:hAnsiTheme="minorHAnsi"/>
          <w:b/>
          <w:i/>
        </w:rPr>
        <w:t>(</w:t>
      </w:r>
      <w:r w:rsidRPr="00D2098A">
        <w:rPr>
          <w:rFonts w:asciiTheme="minorHAnsi" w:hAnsiTheme="minorHAnsi"/>
          <w:b/>
          <w:i/>
          <w:lang w:val="es-MX"/>
        </w:rPr>
        <w:t>IA</w:t>
      </w:r>
      <w:r w:rsidRPr="00D2098A">
        <w:rPr>
          <w:rFonts w:asciiTheme="minorHAnsi" w:hAnsiTheme="minorHAnsi"/>
          <w:b/>
          <w:i/>
          <w:vertAlign w:val="subscript"/>
          <w:lang w:val="es-MX"/>
        </w:rPr>
        <w:t>CAP</w:t>
      </w:r>
      <w:r w:rsidRPr="00D2098A">
        <w:rPr>
          <w:rFonts w:asciiTheme="minorHAnsi" w:hAnsiTheme="minorHAnsi"/>
          <w:b/>
          <w:i/>
        </w:rPr>
        <w:t>)</w:t>
      </w:r>
      <w:r w:rsidR="00520DA8" w:rsidRPr="00D2098A">
        <w:rPr>
          <w:rFonts w:asciiTheme="minorHAnsi" w:hAnsiTheme="minorHAnsi"/>
          <w:b/>
          <w:i/>
        </w:rPr>
        <w:t>.</w:t>
      </w:r>
      <w:r w:rsidR="00520DA8" w:rsidRPr="00D2098A">
        <w:rPr>
          <w:rFonts w:asciiTheme="minorHAnsi" w:hAnsiTheme="minorHAnsi"/>
        </w:rPr>
        <w:t xml:space="preserve"> Por tal motivo, cada uno de sus tres componentes (Nombramiento o Ratificación del Responsable de Capacitación –</w:t>
      </w:r>
      <w:r w:rsidR="00520DA8" w:rsidRPr="00D2098A">
        <w:rPr>
          <w:rFonts w:asciiTheme="minorHAnsi" w:hAnsiTheme="minorHAnsi"/>
          <w:i/>
        </w:rPr>
        <w:t>RC</w:t>
      </w:r>
      <w:r w:rsidR="00520DA8" w:rsidRPr="00D2098A">
        <w:rPr>
          <w:rFonts w:asciiTheme="minorHAnsi" w:hAnsiTheme="minorHAnsi"/>
        </w:rPr>
        <w:t xml:space="preserve">-, Asistencia del </w:t>
      </w:r>
      <w:r w:rsidR="00520DA8" w:rsidRPr="00D2098A">
        <w:rPr>
          <w:rFonts w:asciiTheme="minorHAnsi" w:hAnsiTheme="minorHAnsi"/>
          <w:i/>
        </w:rPr>
        <w:t xml:space="preserve">RC, </w:t>
      </w:r>
      <w:r w:rsidR="00520DA8" w:rsidRPr="00D2098A">
        <w:rPr>
          <w:rFonts w:asciiTheme="minorHAnsi" w:hAnsiTheme="minorHAnsi"/>
        </w:rPr>
        <w:t>cumplimiento de los acuerdos establecidos en la RETAIPDF)</w:t>
      </w:r>
      <w:r w:rsidRPr="00D2098A">
        <w:rPr>
          <w:rFonts w:asciiTheme="minorHAnsi" w:hAnsiTheme="minorHAnsi"/>
        </w:rPr>
        <w:t xml:space="preserve"> </w:t>
      </w:r>
      <w:r w:rsidR="00CE3923" w:rsidRPr="00D2098A">
        <w:rPr>
          <w:rFonts w:asciiTheme="minorHAnsi" w:hAnsiTheme="minorHAnsi"/>
        </w:rPr>
        <w:t xml:space="preserve">les corresponde un peso de </w:t>
      </w:r>
      <w:r w:rsidRPr="00D2098A">
        <w:rPr>
          <w:rFonts w:asciiTheme="minorHAnsi" w:hAnsiTheme="minorHAnsi"/>
        </w:rPr>
        <w:t>10</w:t>
      </w:r>
      <w:r w:rsidR="00CE3923" w:rsidRPr="00D2098A">
        <w:rPr>
          <w:rFonts w:asciiTheme="minorHAnsi" w:hAnsiTheme="minorHAnsi"/>
        </w:rPr>
        <w:t xml:space="preserve"> por ciento </w:t>
      </w:r>
      <w:r w:rsidRPr="00D2098A">
        <w:rPr>
          <w:rFonts w:asciiTheme="minorHAnsi" w:hAnsiTheme="minorHAnsi"/>
        </w:rPr>
        <w:t>a cada uno, asignándose el porcentaje de cumplimiento en forma directamente proporcional al número de acciones que componen cada rubro.</w:t>
      </w:r>
    </w:p>
    <w:p w14:paraId="0ABB8A18" w14:textId="77777777" w:rsidR="00AB57C7" w:rsidRPr="00D2098A" w:rsidRDefault="00AB57C7" w:rsidP="00AB57C7">
      <w:pPr>
        <w:rPr>
          <w:rFonts w:asciiTheme="minorHAnsi" w:hAnsiTheme="minorHAnsi"/>
        </w:rPr>
      </w:pPr>
    </w:p>
    <w:p w14:paraId="57AD79CF" w14:textId="5BCCEB12" w:rsidR="00AB57C7" w:rsidRPr="00D2098A" w:rsidRDefault="00AB57C7" w:rsidP="00AB57C7">
      <w:pPr>
        <w:rPr>
          <w:rFonts w:asciiTheme="minorHAnsi" w:hAnsiTheme="minorHAnsi"/>
        </w:rPr>
      </w:pPr>
      <w:r w:rsidRPr="00D2098A">
        <w:rPr>
          <w:rFonts w:asciiTheme="minorHAnsi" w:hAnsiTheme="minorHAnsi"/>
        </w:rPr>
        <w:t xml:space="preserve">Cabe subrayar que el Índice de Acciones de Capacitación </w:t>
      </w:r>
      <w:r w:rsidRPr="00D2098A">
        <w:rPr>
          <w:rFonts w:asciiTheme="minorHAnsi" w:hAnsiTheme="minorHAnsi"/>
          <w:b/>
          <w:i/>
        </w:rPr>
        <w:t>(</w:t>
      </w:r>
      <w:r w:rsidRPr="00D2098A">
        <w:rPr>
          <w:rFonts w:asciiTheme="minorHAnsi" w:hAnsiTheme="minorHAnsi"/>
          <w:b/>
          <w:i/>
          <w:lang w:val="es-MX"/>
        </w:rPr>
        <w:t>IA</w:t>
      </w:r>
      <w:r w:rsidRPr="00D2098A">
        <w:rPr>
          <w:rFonts w:asciiTheme="minorHAnsi" w:hAnsiTheme="minorHAnsi"/>
          <w:b/>
          <w:i/>
          <w:vertAlign w:val="subscript"/>
          <w:lang w:val="es-MX"/>
        </w:rPr>
        <w:t>CAP</w:t>
      </w:r>
      <w:r w:rsidRPr="00D2098A">
        <w:rPr>
          <w:rFonts w:asciiTheme="minorHAnsi" w:hAnsiTheme="minorHAnsi"/>
          <w:b/>
          <w:i/>
        </w:rPr>
        <w:t>)</w:t>
      </w:r>
      <w:r w:rsidRPr="00D2098A">
        <w:rPr>
          <w:rFonts w:asciiTheme="minorHAnsi" w:hAnsiTheme="minorHAnsi"/>
        </w:rPr>
        <w:t xml:space="preserve"> que integran este apartado, sólo se utilizará para la determinación de los primeros lugares en la evaluación general de las “Mejores Prácticas de Transparencia 201</w:t>
      </w:r>
      <w:r w:rsidR="005F527E">
        <w:rPr>
          <w:rFonts w:asciiTheme="minorHAnsi" w:hAnsiTheme="minorHAnsi"/>
        </w:rPr>
        <w:t>4</w:t>
      </w:r>
      <w:r w:rsidRPr="00D2098A">
        <w:rPr>
          <w:rFonts w:asciiTheme="minorHAnsi" w:hAnsiTheme="minorHAnsi"/>
        </w:rPr>
        <w:t xml:space="preserve">”, pero no se entregará ningún reconocimiento específico de Acciones de Capacitación </w:t>
      </w:r>
      <w:r w:rsidRPr="00D2098A">
        <w:rPr>
          <w:rFonts w:asciiTheme="minorHAnsi" w:hAnsiTheme="minorHAnsi"/>
          <w:b/>
          <w:i/>
        </w:rPr>
        <w:t>(</w:t>
      </w:r>
      <w:r w:rsidRPr="00D2098A">
        <w:rPr>
          <w:rFonts w:asciiTheme="minorHAnsi" w:hAnsiTheme="minorHAnsi"/>
          <w:b/>
          <w:i/>
          <w:lang w:val="es-MX"/>
        </w:rPr>
        <w:t>IA</w:t>
      </w:r>
      <w:r w:rsidRPr="00D2098A">
        <w:rPr>
          <w:rFonts w:asciiTheme="minorHAnsi" w:hAnsiTheme="minorHAnsi"/>
          <w:b/>
          <w:i/>
          <w:vertAlign w:val="subscript"/>
          <w:lang w:val="es-MX"/>
        </w:rPr>
        <w:t>CAP</w:t>
      </w:r>
      <w:r w:rsidRPr="00D2098A">
        <w:rPr>
          <w:rFonts w:asciiTheme="minorHAnsi" w:hAnsiTheme="minorHAnsi"/>
          <w:b/>
          <w:i/>
        </w:rPr>
        <w:t>)</w:t>
      </w:r>
      <w:r w:rsidRPr="00D2098A">
        <w:rPr>
          <w:rFonts w:asciiTheme="minorHAnsi" w:hAnsiTheme="minorHAnsi"/>
        </w:rPr>
        <w:t>., puesto que la Dirección de Capacitación y Cultura de la Transparencia (DCCT) entregará los Reconocimientos al desempeño sobresaliente en capacitación (ReDeS) de forma independiente.</w:t>
      </w:r>
    </w:p>
    <w:p w14:paraId="3526D1CB" w14:textId="77777777" w:rsidR="00A6605E" w:rsidRPr="00D2098A" w:rsidRDefault="00A6605E" w:rsidP="00A6605E">
      <w:pPr>
        <w:pStyle w:val="Prrafodelista"/>
        <w:rPr>
          <w:rFonts w:asciiTheme="minorHAnsi" w:hAnsiTheme="minorHAnsi"/>
          <w:b/>
        </w:rPr>
      </w:pPr>
    </w:p>
    <w:p w14:paraId="2D4B1930" w14:textId="77777777" w:rsidR="00A6605E" w:rsidRPr="00D2098A" w:rsidRDefault="00A6605E" w:rsidP="00A6605E">
      <w:pPr>
        <w:pStyle w:val="Prrafodelista"/>
        <w:rPr>
          <w:rFonts w:asciiTheme="minorHAnsi" w:hAnsiTheme="minorHAnsi"/>
          <w:b/>
        </w:rPr>
      </w:pPr>
    </w:p>
    <w:p w14:paraId="35120202" w14:textId="77777777" w:rsidR="00DE561E" w:rsidRPr="00D2098A" w:rsidRDefault="00DE561E" w:rsidP="00E77C6A">
      <w:pPr>
        <w:pStyle w:val="Prrafodelista"/>
        <w:numPr>
          <w:ilvl w:val="0"/>
          <w:numId w:val="33"/>
        </w:numPr>
        <w:rPr>
          <w:rFonts w:asciiTheme="minorHAnsi" w:hAnsiTheme="minorHAnsi"/>
          <w:b/>
        </w:rPr>
      </w:pPr>
      <w:r w:rsidRPr="00D2098A">
        <w:rPr>
          <w:rFonts w:asciiTheme="minorHAnsi" w:hAnsiTheme="minorHAnsi"/>
          <w:b/>
        </w:rPr>
        <w:t xml:space="preserve">ÍNDICE </w:t>
      </w:r>
      <w:r w:rsidR="00067299" w:rsidRPr="00D2098A">
        <w:rPr>
          <w:rFonts w:asciiTheme="minorHAnsi" w:hAnsiTheme="minorHAnsi"/>
          <w:b/>
        </w:rPr>
        <w:t xml:space="preserve">COMPUESTO </w:t>
      </w:r>
      <w:r w:rsidRPr="00D2098A">
        <w:rPr>
          <w:rFonts w:asciiTheme="minorHAnsi" w:hAnsiTheme="minorHAnsi"/>
          <w:b/>
        </w:rPr>
        <w:t>DE MEJORES PRÁCTICAS DE TRANSPARENCIA</w:t>
      </w:r>
    </w:p>
    <w:p w14:paraId="0EE3C9B7" w14:textId="77777777" w:rsidR="00DE561E" w:rsidRPr="00D2098A" w:rsidRDefault="00DE561E" w:rsidP="00DE561E">
      <w:pPr>
        <w:tabs>
          <w:tab w:val="left" w:pos="3845"/>
        </w:tabs>
        <w:rPr>
          <w:rFonts w:asciiTheme="minorHAnsi" w:hAnsiTheme="minorHAnsi"/>
        </w:rPr>
      </w:pPr>
    </w:p>
    <w:p w14:paraId="53BE33CB" w14:textId="77777777" w:rsidR="00041860" w:rsidRPr="00D2098A" w:rsidRDefault="00B21AB4" w:rsidP="00F85FFD">
      <w:pPr>
        <w:rPr>
          <w:rFonts w:asciiTheme="minorHAnsi" w:hAnsiTheme="minorHAnsi"/>
        </w:rPr>
      </w:pPr>
      <w:r w:rsidRPr="00D2098A">
        <w:rPr>
          <w:rFonts w:asciiTheme="minorHAnsi" w:hAnsiTheme="minorHAnsi"/>
        </w:rPr>
        <w:t>Por último</w:t>
      </w:r>
      <w:r w:rsidR="00F62B58" w:rsidRPr="00D2098A">
        <w:rPr>
          <w:rFonts w:asciiTheme="minorHAnsi" w:hAnsiTheme="minorHAnsi"/>
        </w:rPr>
        <w:t xml:space="preserve">, </w:t>
      </w:r>
      <w:r w:rsidR="002E0DBA" w:rsidRPr="00D2098A">
        <w:rPr>
          <w:rFonts w:asciiTheme="minorHAnsi" w:hAnsiTheme="minorHAnsi"/>
        </w:rPr>
        <w:t xml:space="preserve">y en la parte más relevante de esta evaluación, </w:t>
      </w:r>
      <w:r w:rsidRPr="00D2098A">
        <w:rPr>
          <w:rFonts w:asciiTheme="minorHAnsi" w:hAnsiTheme="minorHAnsi"/>
        </w:rPr>
        <w:t>para obtener la tabla general de posiciones para la entrega de reconocimientos a las “</w:t>
      </w:r>
      <w:r w:rsidRPr="00D2098A">
        <w:rPr>
          <w:rFonts w:asciiTheme="minorHAnsi" w:hAnsiTheme="minorHAnsi"/>
          <w:b/>
        </w:rPr>
        <w:t>Mejores Prácticas de Transparencia</w:t>
      </w:r>
      <w:r w:rsidR="00E45FC2" w:rsidRPr="00D2098A">
        <w:rPr>
          <w:rFonts w:asciiTheme="minorHAnsi" w:hAnsiTheme="minorHAnsi"/>
        </w:rPr>
        <w:t>”, se utilizará</w:t>
      </w:r>
      <w:r w:rsidRPr="00D2098A">
        <w:rPr>
          <w:rFonts w:asciiTheme="minorHAnsi" w:hAnsiTheme="minorHAnsi"/>
        </w:rPr>
        <w:t>n las c</w:t>
      </w:r>
      <w:r w:rsidR="00656B34" w:rsidRPr="00D2098A">
        <w:rPr>
          <w:rFonts w:asciiTheme="minorHAnsi" w:hAnsiTheme="minorHAnsi"/>
        </w:rPr>
        <w:t>alificaciones obtenidas en los 4</w:t>
      </w:r>
      <w:r w:rsidRPr="00D2098A">
        <w:rPr>
          <w:rFonts w:asciiTheme="minorHAnsi" w:hAnsiTheme="minorHAnsi"/>
        </w:rPr>
        <w:t xml:space="preserve"> aspectos </w:t>
      </w:r>
      <w:r w:rsidR="002E0DBA" w:rsidRPr="00D2098A">
        <w:rPr>
          <w:rFonts w:asciiTheme="minorHAnsi" w:hAnsiTheme="minorHAnsi"/>
        </w:rPr>
        <w:t>mencionados</w:t>
      </w:r>
      <w:r w:rsidRPr="00D2098A">
        <w:rPr>
          <w:rFonts w:asciiTheme="minorHAnsi" w:hAnsiTheme="minorHAnsi"/>
        </w:rPr>
        <w:t xml:space="preserve">, ponderándolas </w:t>
      </w:r>
      <w:r w:rsidR="0006198D" w:rsidRPr="00D2098A">
        <w:rPr>
          <w:rFonts w:asciiTheme="minorHAnsi" w:hAnsiTheme="minorHAnsi"/>
        </w:rPr>
        <w:t xml:space="preserve">de acuerdo a lo </w:t>
      </w:r>
      <w:r w:rsidRPr="00D2098A">
        <w:rPr>
          <w:rFonts w:asciiTheme="minorHAnsi" w:hAnsiTheme="minorHAnsi"/>
        </w:rPr>
        <w:t>señalado al principio de este documento</w:t>
      </w:r>
      <w:r w:rsidR="00BB6C8D" w:rsidRPr="00D2098A">
        <w:rPr>
          <w:rFonts w:asciiTheme="minorHAnsi" w:hAnsiTheme="minorHAnsi"/>
        </w:rPr>
        <w:t>,</w:t>
      </w:r>
      <w:r w:rsidR="00DE561E" w:rsidRPr="00D2098A">
        <w:rPr>
          <w:rFonts w:asciiTheme="minorHAnsi" w:hAnsiTheme="minorHAnsi"/>
        </w:rPr>
        <w:t xml:space="preserve"> según la siguiente fórmula:</w:t>
      </w:r>
    </w:p>
    <w:p w14:paraId="42D5C312" w14:textId="77777777" w:rsidR="00055B69" w:rsidRPr="00D2098A" w:rsidRDefault="00055B69" w:rsidP="009714E3">
      <w:pPr>
        <w:rPr>
          <w:rFonts w:asciiTheme="minorHAnsi" w:hAnsiTheme="minorHAnsi"/>
        </w:rPr>
      </w:pPr>
    </w:p>
    <w:p w14:paraId="1DA95897" w14:textId="77777777" w:rsidR="00190258" w:rsidRPr="00D2098A" w:rsidRDefault="00190258" w:rsidP="004E7B06">
      <w:pPr>
        <w:ind w:left="567"/>
        <w:rPr>
          <w:rFonts w:asciiTheme="minorHAnsi" w:hAnsiTheme="minorHAnsi"/>
        </w:rPr>
      </w:pPr>
      <w:r w:rsidRPr="00D2098A">
        <w:rPr>
          <w:rFonts w:asciiTheme="minorHAnsi" w:hAnsiTheme="minorHAnsi"/>
          <w:b/>
          <w:i/>
        </w:rPr>
        <w:t>ICMPT</w:t>
      </w:r>
      <w:r w:rsidRPr="00D2098A">
        <w:rPr>
          <w:rFonts w:asciiTheme="minorHAnsi" w:hAnsiTheme="minorHAnsi"/>
          <w:b/>
        </w:rPr>
        <w:t xml:space="preserve"> </w:t>
      </w:r>
      <w:r w:rsidRPr="00D2098A">
        <w:rPr>
          <w:rFonts w:asciiTheme="minorHAnsi" w:hAnsiTheme="minorHAnsi"/>
        </w:rPr>
        <w:t xml:space="preserve">= </w:t>
      </w:r>
      <w:r w:rsidR="00DC01F9" w:rsidRPr="00D2098A">
        <w:rPr>
          <w:rFonts w:asciiTheme="minorHAnsi" w:hAnsiTheme="minorHAnsi"/>
        </w:rPr>
        <w:t xml:space="preserve">0.30 </w:t>
      </w:r>
      <w:r w:rsidR="00DC01F9" w:rsidRPr="00D2098A">
        <w:rPr>
          <w:rFonts w:asciiTheme="minorHAnsi" w:hAnsiTheme="minorHAnsi"/>
          <w:b/>
          <w:i/>
        </w:rPr>
        <w:t>IG</w:t>
      </w:r>
      <w:r w:rsidR="00DC01F9" w:rsidRPr="00D2098A">
        <w:rPr>
          <w:rFonts w:asciiTheme="minorHAnsi" w:hAnsiTheme="minorHAnsi"/>
          <w:b/>
          <w:i/>
          <w:vertAlign w:val="subscript"/>
        </w:rPr>
        <w:t>COT</w:t>
      </w:r>
      <w:r w:rsidR="00DC01F9" w:rsidRPr="00D2098A">
        <w:rPr>
          <w:rFonts w:asciiTheme="minorHAnsi" w:hAnsiTheme="minorHAnsi"/>
        </w:rPr>
        <w:t xml:space="preserve"> </w:t>
      </w:r>
      <w:r w:rsidRPr="00D2098A">
        <w:rPr>
          <w:rFonts w:asciiTheme="minorHAnsi" w:hAnsiTheme="minorHAnsi"/>
        </w:rPr>
        <w:t xml:space="preserve">+ </w:t>
      </w:r>
      <w:r w:rsidR="00DC01F9" w:rsidRPr="00D2098A">
        <w:rPr>
          <w:rFonts w:asciiTheme="minorHAnsi" w:hAnsiTheme="minorHAnsi"/>
        </w:rPr>
        <w:t xml:space="preserve">0.30 </w:t>
      </w:r>
      <w:r w:rsidR="00DC01F9" w:rsidRPr="00D2098A">
        <w:rPr>
          <w:rFonts w:asciiTheme="minorHAnsi" w:hAnsiTheme="minorHAnsi"/>
          <w:b/>
          <w:i/>
        </w:rPr>
        <w:t>IAI</w:t>
      </w:r>
      <w:r w:rsidR="00DC01F9" w:rsidRPr="00D2098A">
        <w:rPr>
          <w:rFonts w:asciiTheme="minorHAnsi" w:hAnsiTheme="minorHAnsi"/>
          <w:b/>
          <w:i/>
          <w:vertAlign w:val="subscript"/>
        </w:rPr>
        <w:t>EO</w:t>
      </w:r>
      <w:r w:rsidR="00DC01F9" w:rsidRPr="00D2098A">
        <w:rPr>
          <w:rFonts w:asciiTheme="minorHAnsi" w:hAnsiTheme="minorHAnsi"/>
        </w:rPr>
        <w:t xml:space="preserve"> </w:t>
      </w:r>
      <w:r w:rsidRPr="00D2098A">
        <w:rPr>
          <w:rFonts w:asciiTheme="minorHAnsi" w:hAnsiTheme="minorHAnsi"/>
        </w:rPr>
        <w:t xml:space="preserve">+ 0.20 </w:t>
      </w:r>
      <w:r w:rsidR="00AA2FC2" w:rsidRPr="00D2098A">
        <w:rPr>
          <w:rFonts w:asciiTheme="minorHAnsi" w:hAnsiTheme="minorHAnsi"/>
          <w:b/>
          <w:i/>
        </w:rPr>
        <w:t>IC</w:t>
      </w:r>
      <w:r w:rsidR="00AA2FC2" w:rsidRPr="00D2098A">
        <w:rPr>
          <w:rFonts w:asciiTheme="minorHAnsi" w:hAnsiTheme="minorHAnsi"/>
          <w:b/>
          <w:i/>
          <w:vertAlign w:val="subscript"/>
        </w:rPr>
        <w:t xml:space="preserve">TyF </w:t>
      </w:r>
      <w:r w:rsidRPr="00D2098A">
        <w:rPr>
          <w:rFonts w:asciiTheme="minorHAnsi" w:hAnsiTheme="minorHAnsi"/>
        </w:rPr>
        <w:t>+ 0.20</w:t>
      </w:r>
      <w:r w:rsidR="00AA2FC2" w:rsidRPr="00D2098A">
        <w:rPr>
          <w:rFonts w:asciiTheme="minorHAnsi" w:hAnsiTheme="minorHAnsi"/>
        </w:rPr>
        <w:t xml:space="preserve"> </w:t>
      </w:r>
      <w:r w:rsidR="00506F4A" w:rsidRPr="00D2098A">
        <w:rPr>
          <w:rFonts w:asciiTheme="minorHAnsi" w:hAnsiTheme="minorHAnsi"/>
          <w:b/>
          <w:i/>
        </w:rPr>
        <w:t>IA</w:t>
      </w:r>
      <w:r w:rsidR="00506F4A" w:rsidRPr="00D2098A">
        <w:rPr>
          <w:rFonts w:asciiTheme="minorHAnsi" w:hAnsiTheme="minorHAnsi"/>
          <w:b/>
          <w:i/>
          <w:vertAlign w:val="subscript"/>
        </w:rPr>
        <w:t>CAP</w:t>
      </w:r>
    </w:p>
    <w:p w14:paraId="04B86489" w14:textId="77777777" w:rsidR="00190258" w:rsidRPr="00D2098A" w:rsidRDefault="00190258" w:rsidP="009714E3">
      <w:pPr>
        <w:rPr>
          <w:rFonts w:asciiTheme="minorHAnsi" w:hAnsiTheme="minorHAnsi"/>
        </w:rPr>
      </w:pPr>
    </w:p>
    <w:p w14:paraId="30F5A0C8" w14:textId="77777777" w:rsidR="00190258" w:rsidRPr="00D2098A" w:rsidRDefault="00190258" w:rsidP="00190258">
      <w:pPr>
        <w:rPr>
          <w:rFonts w:asciiTheme="minorHAnsi" w:hAnsiTheme="minorHAnsi"/>
          <w:b/>
        </w:rPr>
      </w:pPr>
      <w:r w:rsidRPr="00D2098A">
        <w:rPr>
          <w:rFonts w:asciiTheme="minorHAnsi" w:hAnsiTheme="minorHAnsi"/>
          <w:b/>
        </w:rPr>
        <w:t>Donde:</w:t>
      </w:r>
    </w:p>
    <w:p w14:paraId="5A25D74C" w14:textId="77777777" w:rsidR="00DC01F9" w:rsidRPr="00D2098A" w:rsidRDefault="00DC01F9" w:rsidP="00190258">
      <w:pPr>
        <w:rPr>
          <w:rFonts w:asciiTheme="minorHAnsi" w:hAnsiTheme="minorHAnsi"/>
          <w:b/>
        </w:rPr>
      </w:pPr>
    </w:p>
    <w:p w14:paraId="78C152C0" w14:textId="77777777" w:rsidR="00190258" w:rsidRPr="00D2098A" w:rsidRDefault="00DC01F9" w:rsidP="00190258">
      <w:pPr>
        <w:rPr>
          <w:rFonts w:asciiTheme="minorHAnsi" w:hAnsiTheme="minorHAnsi"/>
          <w:lang w:val="es-MX"/>
        </w:rPr>
      </w:pPr>
      <w:r w:rsidRPr="00D2098A">
        <w:rPr>
          <w:rFonts w:asciiTheme="minorHAnsi" w:hAnsiTheme="minorHAnsi"/>
          <w:b/>
          <w:i/>
          <w:lang w:val="es-MX"/>
        </w:rPr>
        <w:t>ICMPT</w:t>
      </w:r>
      <w:r w:rsidRPr="00D2098A">
        <w:rPr>
          <w:rFonts w:asciiTheme="minorHAnsi" w:hAnsiTheme="minorHAnsi"/>
          <w:lang w:val="es-MX"/>
        </w:rPr>
        <w:t xml:space="preserve"> = Índice Compuesto de Mejores Prácticas de Transparencia.</w:t>
      </w:r>
    </w:p>
    <w:p w14:paraId="2B908F48" w14:textId="77777777" w:rsidR="00190258" w:rsidRPr="00D2098A" w:rsidRDefault="00DC01F9" w:rsidP="00190258">
      <w:pPr>
        <w:rPr>
          <w:rFonts w:asciiTheme="minorHAnsi" w:hAnsiTheme="minorHAnsi"/>
          <w:lang w:val="es-MX"/>
        </w:rPr>
      </w:pPr>
      <w:r w:rsidRPr="00D2098A">
        <w:rPr>
          <w:rFonts w:asciiTheme="minorHAnsi" w:hAnsiTheme="minorHAnsi"/>
          <w:b/>
          <w:i/>
          <w:lang w:val="es-MX"/>
        </w:rPr>
        <w:t>IG</w:t>
      </w:r>
      <w:r w:rsidRPr="00D2098A">
        <w:rPr>
          <w:rFonts w:asciiTheme="minorHAnsi" w:hAnsiTheme="minorHAnsi"/>
          <w:b/>
          <w:i/>
          <w:vertAlign w:val="subscript"/>
          <w:lang w:val="es-MX"/>
        </w:rPr>
        <w:t>COT</w:t>
      </w:r>
      <w:r w:rsidR="00190258" w:rsidRPr="00D2098A">
        <w:rPr>
          <w:rFonts w:asciiTheme="minorHAnsi" w:hAnsiTheme="minorHAnsi" w:cs="Arial"/>
          <w:b/>
        </w:rPr>
        <w:fldChar w:fldCharType="begin"/>
      </w:r>
      <w:r w:rsidR="00190258" w:rsidRPr="00D2098A">
        <w:rPr>
          <w:rFonts w:asciiTheme="minorHAnsi" w:hAnsiTheme="minorHAnsi" w:cs="Arial"/>
          <w:b/>
        </w:rPr>
        <w:instrText xml:space="preserve"> QUOTE </w:instrText>
      </w:r>
      <m:oMath>
        <m:sSub>
          <m:sSubPr>
            <m:ctrlPr>
              <w:rPr>
                <w:rFonts w:ascii="Cambria Math" w:hAnsi="Cambria Math" w:cs="Arial"/>
                <w:b/>
              </w:rPr>
            </m:ctrlPr>
          </m:sSubPr>
          <m:e>
            <m:r>
              <m:rPr>
                <m:sty m:val="p"/>
              </m:rPr>
              <w:rPr>
                <w:rFonts w:ascii="Cambria Math" w:hAnsi="Cambria Math" w:cs="Arial"/>
              </w:rPr>
              <m:t>IG</m:t>
            </m:r>
          </m:e>
          <m:sub>
            <m:r>
              <m:rPr>
                <m:sty m:val="p"/>
              </m:rPr>
              <w:rPr>
                <w:rFonts w:ascii="Cambria Math" w:hAnsi="Cambria Math" w:cs="Arial"/>
              </w:rPr>
              <m:t>OF</m:t>
            </m:r>
          </m:sub>
        </m:sSub>
      </m:oMath>
      <w:r w:rsidR="00190258" w:rsidRPr="00D2098A">
        <w:rPr>
          <w:rFonts w:asciiTheme="minorHAnsi" w:hAnsiTheme="minorHAnsi" w:cs="Arial"/>
          <w:b/>
        </w:rPr>
        <w:instrText xml:space="preserve"> </w:instrText>
      </w:r>
      <w:r w:rsidR="00190258" w:rsidRPr="00D2098A">
        <w:rPr>
          <w:rFonts w:asciiTheme="minorHAnsi" w:hAnsiTheme="minorHAnsi" w:cs="Arial"/>
          <w:b/>
        </w:rPr>
        <w:fldChar w:fldCharType="end"/>
      </w:r>
      <w:r w:rsidR="00190258" w:rsidRPr="00D2098A">
        <w:rPr>
          <w:rFonts w:asciiTheme="minorHAnsi" w:hAnsiTheme="minorHAnsi" w:cs="Arial"/>
          <w:b/>
        </w:rPr>
        <w:t xml:space="preserve"> </w:t>
      </w:r>
      <w:r w:rsidR="00190258" w:rsidRPr="00D2098A">
        <w:rPr>
          <w:rFonts w:asciiTheme="minorHAnsi" w:hAnsiTheme="minorHAnsi" w:cs="Arial"/>
        </w:rPr>
        <w:t xml:space="preserve">= </w:t>
      </w:r>
      <w:r w:rsidRPr="00D2098A">
        <w:rPr>
          <w:rFonts w:asciiTheme="minorHAnsi" w:hAnsiTheme="minorHAnsi"/>
          <w:lang w:val="es-MX"/>
        </w:rPr>
        <w:t>Índice Global del Cumplimiento de las Obligaciones de Transparencia.</w:t>
      </w:r>
    </w:p>
    <w:p w14:paraId="63D576A0" w14:textId="77777777" w:rsidR="00DC01F9" w:rsidRPr="00D2098A" w:rsidRDefault="00DC01F9" w:rsidP="00190258">
      <w:pPr>
        <w:rPr>
          <w:rFonts w:asciiTheme="minorHAnsi" w:hAnsiTheme="minorHAnsi"/>
          <w:lang w:val="es-MX"/>
        </w:rPr>
      </w:pPr>
      <w:r w:rsidRPr="00D2098A">
        <w:rPr>
          <w:rFonts w:asciiTheme="minorHAnsi" w:hAnsiTheme="minorHAnsi"/>
          <w:b/>
          <w:i/>
          <w:lang w:val="es-MX"/>
        </w:rPr>
        <w:t>IAI</w:t>
      </w:r>
      <w:r w:rsidRPr="00D2098A">
        <w:rPr>
          <w:rFonts w:asciiTheme="minorHAnsi" w:hAnsiTheme="minorHAnsi"/>
          <w:b/>
          <w:i/>
          <w:vertAlign w:val="subscript"/>
          <w:lang w:val="es-MX"/>
        </w:rPr>
        <w:t>EO</w:t>
      </w:r>
      <w:r w:rsidRPr="00D2098A">
        <w:rPr>
          <w:rFonts w:asciiTheme="minorHAnsi" w:hAnsiTheme="minorHAnsi"/>
          <w:lang w:val="es-MX"/>
        </w:rPr>
        <w:t xml:space="preserve"> = Índice de Acceso a la Información.</w:t>
      </w:r>
    </w:p>
    <w:p w14:paraId="0F34BE2E" w14:textId="77777777" w:rsidR="00AA2FC2" w:rsidRPr="00D2098A" w:rsidRDefault="00AA2FC2" w:rsidP="00CB060C">
      <w:pPr>
        <w:ind w:left="658" w:hanging="658"/>
        <w:rPr>
          <w:rFonts w:asciiTheme="minorHAnsi" w:hAnsiTheme="minorHAnsi"/>
          <w:lang w:val="es-MX"/>
        </w:rPr>
      </w:pPr>
      <w:r w:rsidRPr="00D2098A">
        <w:rPr>
          <w:rFonts w:asciiTheme="minorHAnsi" w:hAnsiTheme="minorHAnsi"/>
          <w:b/>
          <w:i/>
          <w:lang w:val="es-MX"/>
        </w:rPr>
        <w:t>IC</w:t>
      </w:r>
      <w:r w:rsidRPr="00D2098A">
        <w:rPr>
          <w:rFonts w:asciiTheme="minorHAnsi" w:hAnsiTheme="minorHAnsi"/>
          <w:b/>
          <w:i/>
          <w:vertAlign w:val="subscript"/>
          <w:lang w:val="es-MX"/>
        </w:rPr>
        <w:t xml:space="preserve">TyF </w:t>
      </w:r>
      <w:r w:rsidRPr="00D2098A">
        <w:rPr>
          <w:rFonts w:asciiTheme="minorHAnsi" w:hAnsiTheme="minorHAnsi"/>
        </w:rPr>
        <w:t>= Índice de c</w:t>
      </w:r>
      <w:r w:rsidR="00506F4A" w:rsidRPr="00D2098A">
        <w:rPr>
          <w:rFonts w:asciiTheme="minorHAnsi" w:hAnsiTheme="minorHAnsi"/>
        </w:rPr>
        <w:t>u</w:t>
      </w:r>
      <w:r w:rsidRPr="00D2098A">
        <w:rPr>
          <w:rFonts w:asciiTheme="minorHAnsi" w:hAnsiTheme="minorHAnsi"/>
        </w:rPr>
        <w:t>mplimiento, en tiempo y forma, de los requerimientos del InfoDF para la observancia de la LTAIPDF</w:t>
      </w:r>
      <w:r w:rsidR="00285F19" w:rsidRPr="00D2098A">
        <w:rPr>
          <w:rFonts w:asciiTheme="minorHAnsi" w:hAnsiTheme="minorHAnsi"/>
        </w:rPr>
        <w:t>.</w:t>
      </w:r>
    </w:p>
    <w:p w14:paraId="7570AD52" w14:textId="77777777" w:rsidR="00AA2FC2" w:rsidRPr="00D2098A" w:rsidRDefault="00506F4A" w:rsidP="00190258">
      <w:pPr>
        <w:rPr>
          <w:rFonts w:asciiTheme="minorHAnsi" w:hAnsiTheme="minorHAnsi"/>
          <w:lang w:val="es-MX"/>
        </w:rPr>
      </w:pPr>
      <w:r w:rsidRPr="00D2098A">
        <w:rPr>
          <w:rFonts w:asciiTheme="minorHAnsi" w:hAnsiTheme="minorHAnsi"/>
          <w:b/>
          <w:i/>
          <w:lang w:val="es-MX"/>
        </w:rPr>
        <w:t>IA</w:t>
      </w:r>
      <w:r w:rsidRPr="00D2098A">
        <w:rPr>
          <w:rFonts w:asciiTheme="minorHAnsi" w:hAnsiTheme="minorHAnsi"/>
          <w:b/>
          <w:i/>
          <w:vertAlign w:val="subscript"/>
          <w:lang w:val="es-MX"/>
        </w:rPr>
        <w:t xml:space="preserve">CAP </w:t>
      </w:r>
      <w:r w:rsidRPr="00D2098A">
        <w:rPr>
          <w:rFonts w:asciiTheme="minorHAnsi" w:hAnsiTheme="minorHAnsi"/>
        </w:rPr>
        <w:t>= Índice de Acciones de Capacitación</w:t>
      </w:r>
      <w:r w:rsidR="00285F19" w:rsidRPr="00D2098A">
        <w:rPr>
          <w:rFonts w:asciiTheme="minorHAnsi" w:hAnsiTheme="minorHAnsi"/>
        </w:rPr>
        <w:t>.</w:t>
      </w:r>
    </w:p>
    <w:p w14:paraId="7EB60EFB" w14:textId="77777777" w:rsidR="00190258" w:rsidRPr="00D2098A" w:rsidRDefault="00190258" w:rsidP="009714E3">
      <w:pPr>
        <w:rPr>
          <w:rFonts w:asciiTheme="minorHAnsi" w:hAnsiTheme="minorHAnsi"/>
          <w:lang w:val="es-MX"/>
        </w:rPr>
      </w:pPr>
    </w:p>
    <w:p w14:paraId="2969BE7A" w14:textId="77777777" w:rsidR="005B1B48" w:rsidRPr="00D2098A" w:rsidRDefault="00E45FC2" w:rsidP="00E52C4A">
      <w:pPr>
        <w:rPr>
          <w:rFonts w:asciiTheme="minorHAnsi" w:hAnsiTheme="minorHAnsi"/>
        </w:rPr>
      </w:pPr>
      <w:r w:rsidRPr="00D2098A">
        <w:rPr>
          <w:rFonts w:asciiTheme="minorHAnsi" w:hAnsiTheme="minorHAnsi"/>
        </w:rPr>
        <w:t>En este</w:t>
      </w:r>
      <w:r w:rsidR="004B4FCB" w:rsidRPr="00D2098A">
        <w:rPr>
          <w:rFonts w:asciiTheme="minorHAnsi" w:hAnsiTheme="minorHAnsi"/>
        </w:rPr>
        <w:t xml:space="preserve"> </w:t>
      </w:r>
      <w:r w:rsidR="004B4FCB" w:rsidRPr="00D2098A">
        <w:rPr>
          <w:rFonts w:asciiTheme="minorHAnsi" w:hAnsiTheme="minorHAnsi"/>
          <w:b/>
        </w:rPr>
        <w:t>Índice Compuesto de Mejores Prácticas de Transparencia</w:t>
      </w:r>
      <w:r w:rsidR="00506F4A" w:rsidRPr="00D2098A">
        <w:rPr>
          <w:rFonts w:asciiTheme="minorHAnsi" w:hAnsiTheme="minorHAnsi"/>
        </w:rPr>
        <w:t xml:space="preserve"> </w:t>
      </w:r>
      <w:r w:rsidR="00506F4A" w:rsidRPr="00D2098A">
        <w:rPr>
          <w:rFonts w:asciiTheme="minorHAnsi" w:hAnsiTheme="minorHAnsi"/>
          <w:b/>
          <w:i/>
          <w:lang w:val="es-MX"/>
        </w:rPr>
        <w:t>(ICMPT)</w:t>
      </w:r>
      <w:r w:rsidR="004B4FCB" w:rsidRPr="00D2098A">
        <w:rPr>
          <w:rFonts w:asciiTheme="minorHAnsi" w:hAnsiTheme="minorHAnsi"/>
        </w:rPr>
        <w:t xml:space="preserve">, que refleja el desempeño integral de los </w:t>
      </w:r>
      <w:r w:rsidR="00506F4A" w:rsidRPr="00D2098A">
        <w:rPr>
          <w:rFonts w:asciiTheme="minorHAnsi" w:hAnsiTheme="minorHAnsi"/>
        </w:rPr>
        <w:t>E</w:t>
      </w:r>
      <w:r w:rsidR="004B4FCB" w:rsidRPr="00D2098A">
        <w:rPr>
          <w:rFonts w:asciiTheme="minorHAnsi" w:hAnsiTheme="minorHAnsi"/>
        </w:rPr>
        <w:t xml:space="preserve">ntes </w:t>
      </w:r>
      <w:r w:rsidR="00506F4A" w:rsidRPr="00D2098A">
        <w:rPr>
          <w:rFonts w:asciiTheme="minorHAnsi" w:hAnsiTheme="minorHAnsi"/>
        </w:rPr>
        <w:t xml:space="preserve">Obligados </w:t>
      </w:r>
      <w:r w:rsidR="000F207D" w:rsidRPr="00D2098A">
        <w:rPr>
          <w:rFonts w:asciiTheme="minorHAnsi" w:hAnsiTheme="minorHAnsi"/>
        </w:rPr>
        <w:t>en el cumplimiento de las diversas obligaciones que establece la Ley de Transparencia y Acceso a la Información Pública</w:t>
      </w:r>
      <w:r w:rsidR="00506F4A" w:rsidRPr="00D2098A">
        <w:rPr>
          <w:rFonts w:asciiTheme="minorHAnsi" w:hAnsiTheme="minorHAnsi"/>
        </w:rPr>
        <w:t xml:space="preserve"> del Distrito Federal</w:t>
      </w:r>
      <w:r w:rsidR="000F207D" w:rsidRPr="00D2098A">
        <w:rPr>
          <w:rFonts w:asciiTheme="minorHAnsi" w:hAnsiTheme="minorHAnsi"/>
        </w:rPr>
        <w:t xml:space="preserve">, y considerando el esfuerzo que implica este cumplimiento </w:t>
      </w:r>
      <w:r w:rsidR="002E0DBA" w:rsidRPr="00D2098A">
        <w:rPr>
          <w:rFonts w:asciiTheme="minorHAnsi" w:hAnsiTheme="minorHAnsi"/>
        </w:rPr>
        <w:t>global</w:t>
      </w:r>
      <w:r w:rsidR="000F207D" w:rsidRPr="00D2098A">
        <w:rPr>
          <w:rFonts w:asciiTheme="minorHAnsi" w:hAnsiTheme="minorHAnsi"/>
        </w:rPr>
        <w:t xml:space="preserve"> para el conjunto de los </w:t>
      </w:r>
      <w:r w:rsidR="00506F4A" w:rsidRPr="00D2098A">
        <w:rPr>
          <w:rFonts w:asciiTheme="minorHAnsi" w:hAnsiTheme="minorHAnsi"/>
        </w:rPr>
        <w:t>E</w:t>
      </w:r>
      <w:r w:rsidR="000F207D" w:rsidRPr="00D2098A">
        <w:rPr>
          <w:rFonts w:asciiTheme="minorHAnsi" w:hAnsiTheme="minorHAnsi"/>
        </w:rPr>
        <w:t xml:space="preserve">ntes </w:t>
      </w:r>
      <w:r w:rsidR="00506F4A" w:rsidRPr="00D2098A">
        <w:rPr>
          <w:rFonts w:asciiTheme="minorHAnsi" w:hAnsiTheme="minorHAnsi"/>
        </w:rPr>
        <w:t>Obligad</w:t>
      </w:r>
      <w:r w:rsidR="000F207D" w:rsidRPr="00D2098A">
        <w:rPr>
          <w:rFonts w:asciiTheme="minorHAnsi" w:hAnsiTheme="minorHAnsi"/>
        </w:rPr>
        <w:t xml:space="preserve">os, se </w:t>
      </w:r>
      <w:r w:rsidRPr="00D2098A">
        <w:rPr>
          <w:rFonts w:asciiTheme="minorHAnsi" w:hAnsiTheme="minorHAnsi"/>
        </w:rPr>
        <w:t>entregarán reconocimientos a los 5 primeros lugares.</w:t>
      </w:r>
    </w:p>
    <w:sectPr w:rsidR="005B1B48" w:rsidRPr="00D2098A" w:rsidSect="0012655D">
      <w:headerReference w:type="default" r:id="rId8"/>
      <w:footerReference w:type="default" r:id="rId9"/>
      <w:pgSz w:w="12242" w:h="15842" w:code="1"/>
      <w:pgMar w:top="1440" w:right="1729" w:bottom="1440" w:left="172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28036" w14:textId="77777777" w:rsidR="00AB2B78" w:rsidRDefault="00AB2B78" w:rsidP="00726BDE">
      <w:r>
        <w:separator/>
      </w:r>
    </w:p>
  </w:endnote>
  <w:endnote w:type="continuationSeparator" w:id="0">
    <w:p w14:paraId="725BE073" w14:textId="77777777" w:rsidR="00AB2B78" w:rsidRDefault="00AB2B78" w:rsidP="007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8770" w14:textId="77777777" w:rsidR="00434605" w:rsidRDefault="00434605">
    <w:pPr>
      <w:pStyle w:val="Piedepgina"/>
      <w:jc w:val="right"/>
    </w:pPr>
    <w:r>
      <w:fldChar w:fldCharType="begin"/>
    </w:r>
    <w:r>
      <w:instrText>PAGE   \* MERGEFORMAT</w:instrText>
    </w:r>
    <w:r>
      <w:fldChar w:fldCharType="separate"/>
    </w:r>
    <w:r w:rsidR="00AB2B78">
      <w:rPr>
        <w:noProof/>
      </w:rPr>
      <w:t>1</w:t>
    </w:r>
    <w:r>
      <w:fldChar w:fldCharType="end"/>
    </w:r>
  </w:p>
  <w:p w14:paraId="0470A91C" w14:textId="77777777" w:rsidR="00620E5E" w:rsidRDefault="00620E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F628" w14:textId="77777777" w:rsidR="00AB2B78" w:rsidRDefault="00AB2B78" w:rsidP="00726BDE">
      <w:r>
        <w:separator/>
      </w:r>
    </w:p>
  </w:footnote>
  <w:footnote w:type="continuationSeparator" w:id="0">
    <w:p w14:paraId="4616AE41" w14:textId="77777777" w:rsidR="00AB2B78" w:rsidRDefault="00AB2B78" w:rsidP="00726BDE">
      <w:r>
        <w:continuationSeparator/>
      </w:r>
    </w:p>
  </w:footnote>
  <w:footnote w:id="1">
    <w:p w14:paraId="1ED9274A" w14:textId="77777777" w:rsidR="00620E5E" w:rsidRPr="00EC189A" w:rsidRDefault="00620E5E">
      <w:pPr>
        <w:pStyle w:val="Textonotapie"/>
        <w:rPr>
          <w:lang w:val="es-MX"/>
        </w:rPr>
      </w:pPr>
      <w:r>
        <w:rPr>
          <w:rStyle w:val="Refdenotaalpie"/>
        </w:rPr>
        <w:footnoteRef/>
      </w:r>
      <w:r>
        <w:t xml:space="preserve"> </w:t>
      </w:r>
      <w:r>
        <w:rPr>
          <w:lang w:val="es-MX"/>
        </w:rPr>
        <w:t xml:space="preserve">Se debe subrayar que en este índice no se considerará el total de recursos de revisión presentados en contra del Ente </w:t>
      </w:r>
      <w:r w:rsidR="00EC7B16">
        <w:rPr>
          <w:lang w:val="es-MX"/>
        </w:rPr>
        <w:t>Obligado</w:t>
      </w:r>
      <w:r>
        <w:rPr>
          <w:lang w:val="es-MX"/>
        </w:rPr>
        <w:t xml:space="preserve"> respectivo, sino sólo los recursos resueltos por el Pleno del Instituto en el ejercicio 201</w:t>
      </w:r>
      <w:r w:rsidR="005436BC">
        <w:rPr>
          <w:lang w:val="es-MX"/>
        </w:rPr>
        <w:t>4</w:t>
      </w: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9686" w14:textId="77777777" w:rsidR="00620E5E" w:rsidRPr="009A156D" w:rsidRDefault="003C49CC" w:rsidP="009A156D">
    <w:pPr>
      <w:pStyle w:val="Encabezado"/>
      <w:jc w:val="right"/>
      <w:rPr>
        <w:b/>
        <w:sz w:val="24"/>
        <w:lang w:val="es-MX"/>
      </w:rPr>
    </w:pPr>
    <w:r>
      <w:rPr>
        <w:noProof/>
        <w:lang w:val="es-MX" w:eastAsia="es-MX"/>
      </w:rPr>
      <w:drawing>
        <wp:anchor distT="0" distB="0" distL="114300" distR="114300" simplePos="0" relativeHeight="251657728" behindDoc="0" locked="0" layoutInCell="1" allowOverlap="1" wp14:anchorId="0BA09B6D" wp14:editId="2B7767E3">
          <wp:simplePos x="0" y="0"/>
          <wp:positionH relativeFrom="column">
            <wp:posOffset>-68580</wp:posOffset>
          </wp:positionH>
          <wp:positionV relativeFrom="paragraph">
            <wp:posOffset>-223520</wp:posOffset>
          </wp:positionV>
          <wp:extent cx="681990" cy="807720"/>
          <wp:effectExtent l="0" t="0" r="3810" b="0"/>
          <wp:wrapThrough wrapText="bothSides">
            <wp:wrapPolygon edited="0">
              <wp:start x="0" y="0"/>
              <wp:lineTo x="0" y="20887"/>
              <wp:lineTo x="21117" y="20887"/>
              <wp:lineTo x="21117" y="0"/>
              <wp:lineTo x="0" y="0"/>
            </wp:wrapPolygon>
          </wp:wrapThrough>
          <wp:docPr id="1" name="Imagen 1" descr="Descripción: C:\Users\GUILLE~1.GOM\AppData\Local\Temp\notesFFF692\LOGOTIPO_InfoDF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GUILLE~1.GOM\AppData\Local\Temp\notesFFF692\LOGOTIPO_InfoDF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5E" w:rsidRPr="009A156D">
      <w:rPr>
        <w:b/>
        <w:sz w:val="24"/>
        <w:lang w:val="es-MX"/>
      </w:rPr>
      <w:t>INSTITUTO DE ACCESO A LA INFORMACIÓN PÚBLICA</w:t>
    </w:r>
  </w:p>
  <w:p w14:paraId="3AD97A28" w14:textId="77777777" w:rsidR="00620E5E" w:rsidRDefault="00620E5E" w:rsidP="009A156D">
    <w:pPr>
      <w:pStyle w:val="Encabezado"/>
      <w:jc w:val="right"/>
      <w:rPr>
        <w:b/>
        <w:sz w:val="24"/>
        <w:lang w:val="es-MX"/>
      </w:rPr>
    </w:pPr>
    <w:r w:rsidRPr="009A156D">
      <w:rPr>
        <w:b/>
        <w:sz w:val="24"/>
        <w:lang w:val="es-MX"/>
      </w:rPr>
      <w:t>Y PROTECCIÓN DE DATOS PERSONALES DEL DISTRITO FEDERAL.</w:t>
    </w:r>
  </w:p>
  <w:p w14:paraId="24454D08" w14:textId="77777777" w:rsidR="006235DD" w:rsidRDefault="006235DD" w:rsidP="009A156D">
    <w:pPr>
      <w:pStyle w:val="Encabezado"/>
      <w:jc w:val="right"/>
      <w:rPr>
        <w:b/>
        <w:sz w:val="24"/>
        <w:lang w:val="es-MX"/>
      </w:rPr>
    </w:pPr>
  </w:p>
  <w:p w14:paraId="05F33A67" w14:textId="15151FD8" w:rsidR="00620E5E" w:rsidRDefault="006235DD" w:rsidP="006235DD">
    <w:pPr>
      <w:jc w:val="right"/>
      <w:rPr>
        <w:rFonts w:ascii="Arial" w:hAnsi="Arial" w:cs="Arial"/>
        <w:i/>
        <w:sz w:val="18"/>
        <w:szCs w:val="18"/>
        <w:lang w:val="es-MX"/>
      </w:rPr>
    </w:pPr>
    <w:r w:rsidRPr="00A934B2">
      <w:rPr>
        <w:rFonts w:ascii="Arial" w:hAnsi="Arial" w:cs="Arial"/>
        <w:i/>
        <w:sz w:val="18"/>
        <w:szCs w:val="18"/>
        <w:lang w:val="es-MX"/>
      </w:rPr>
      <w:t>APROBADOS MEDIANTE EL ACUERDO 011</w:t>
    </w:r>
    <w:r>
      <w:rPr>
        <w:rFonts w:ascii="Arial" w:hAnsi="Arial" w:cs="Arial"/>
        <w:i/>
        <w:sz w:val="18"/>
        <w:szCs w:val="18"/>
        <w:lang w:val="es-MX"/>
      </w:rPr>
      <w:t>4</w:t>
    </w:r>
    <w:r w:rsidRPr="00A934B2">
      <w:rPr>
        <w:rFonts w:ascii="Arial" w:hAnsi="Arial" w:cs="Arial"/>
        <w:i/>
        <w:sz w:val="18"/>
        <w:szCs w:val="18"/>
        <w:lang w:val="es-MX"/>
      </w:rPr>
      <w:t>/SO/06-02/2014</w:t>
    </w:r>
  </w:p>
  <w:p w14:paraId="26F70B60" w14:textId="77777777" w:rsidR="006235DD" w:rsidRDefault="006235DD" w:rsidP="006235DD">
    <w:pPr>
      <w:jc w:val="right"/>
      <w:rPr>
        <w:rFonts w:ascii="Arial" w:hAnsi="Arial" w:cs="Arial"/>
        <w:i/>
        <w:sz w:val="18"/>
        <w:szCs w:val="18"/>
        <w:lang w:val="es-MX"/>
      </w:rPr>
    </w:pPr>
  </w:p>
  <w:p w14:paraId="6E7C37D1" w14:textId="77777777" w:rsidR="006235DD" w:rsidRDefault="006235DD" w:rsidP="006235DD">
    <w:pPr>
      <w:jc w:val="right"/>
      <w:rPr>
        <w:rFonts w:ascii="Arial" w:hAnsi="Arial" w:cs="Arial"/>
        <w:i/>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362"/>
    <w:multiLevelType w:val="hybridMultilevel"/>
    <w:tmpl w:val="44527C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8208A"/>
    <w:multiLevelType w:val="hybridMultilevel"/>
    <w:tmpl w:val="B972C528"/>
    <w:lvl w:ilvl="0" w:tplc="2CC04D9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57294"/>
    <w:multiLevelType w:val="hybridMultilevel"/>
    <w:tmpl w:val="92265CB4"/>
    <w:lvl w:ilvl="0" w:tplc="4FEC74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5616A7"/>
    <w:multiLevelType w:val="hybridMultilevel"/>
    <w:tmpl w:val="898EB7C6"/>
    <w:lvl w:ilvl="0" w:tplc="6F4C1A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31912"/>
    <w:multiLevelType w:val="hybridMultilevel"/>
    <w:tmpl w:val="E4D6A65A"/>
    <w:lvl w:ilvl="0" w:tplc="E758A55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9174F"/>
    <w:multiLevelType w:val="hybridMultilevel"/>
    <w:tmpl w:val="A80C4E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90417B"/>
    <w:multiLevelType w:val="hybridMultilevel"/>
    <w:tmpl w:val="D72C45D8"/>
    <w:lvl w:ilvl="0" w:tplc="6F4C1A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4653D0"/>
    <w:multiLevelType w:val="hybridMultilevel"/>
    <w:tmpl w:val="44527C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1447FF"/>
    <w:multiLevelType w:val="hybridMultilevel"/>
    <w:tmpl w:val="664AB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C260D7"/>
    <w:multiLevelType w:val="hybridMultilevel"/>
    <w:tmpl w:val="F8CC41F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26136C09"/>
    <w:multiLevelType w:val="hybridMultilevel"/>
    <w:tmpl w:val="77C68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5B3250"/>
    <w:multiLevelType w:val="hybridMultilevel"/>
    <w:tmpl w:val="B6D8F4EC"/>
    <w:lvl w:ilvl="0" w:tplc="DBC4892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912CB7"/>
    <w:multiLevelType w:val="hybridMultilevel"/>
    <w:tmpl w:val="77C68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58657A"/>
    <w:multiLevelType w:val="hybridMultilevel"/>
    <w:tmpl w:val="85208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280A15"/>
    <w:multiLevelType w:val="hybridMultilevel"/>
    <w:tmpl w:val="0FACA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C47422"/>
    <w:multiLevelType w:val="hybridMultilevel"/>
    <w:tmpl w:val="2892E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2B1D9F"/>
    <w:multiLevelType w:val="hybridMultilevel"/>
    <w:tmpl w:val="24A0783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8A373E4"/>
    <w:multiLevelType w:val="hybridMultilevel"/>
    <w:tmpl w:val="A2923502"/>
    <w:lvl w:ilvl="0" w:tplc="0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0974DE"/>
    <w:multiLevelType w:val="hybridMultilevel"/>
    <w:tmpl w:val="731C9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3F39A1"/>
    <w:multiLevelType w:val="hybridMultilevel"/>
    <w:tmpl w:val="251CE7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3A32E8"/>
    <w:multiLevelType w:val="hybridMultilevel"/>
    <w:tmpl w:val="6DC243DC"/>
    <w:lvl w:ilvl="0" w:tplc="2CC04D9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7F26B9"/>
    <w:multiLevelType w:val="hybridMultilevel"/>
    <w:tmpl w:val="77C68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0E170A"/>
    <w:multiLevelType w:val="hybridMultilevel"/>
    <w:tmpl w:val="811C9BE8"/>
    <w:lvl w:ilvl="0" w:tplc="B23AE4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C7644E"/>
    <w:multiLevelType w:val="hybridMultilevel"/>
    <w:tmpl w:val="F8CC41F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4C60393B"/>
    <w:multiLevelType w:val="hybridMultilevel"/>
    <w:tmpl w:val="75EE9108"/>
    <w:lvl w:ilvl="0" w:tplc="2FF084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EF3C3D"/>
    <w:multiLevelType w:val="hybridMultilevel"/>
    <w:tmpl w:val="7A64E5FC"/>
    <w:lvl w:ilvl="0" w:tplc="B23AE4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C35A1B"/>
    <w:multiLevelType w:val="hybridMultilevel"/>
    <w:tmpl w:val="52DC459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D15EF6"/>
    <w:multiLevelType w:val="hybridMultilevel"/>
    <w:tmpl w:val="A15CEB7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14639E0"/>
    <w:multiLevelType w:val="hybridMultilevel"/>
    <w:tmpl w:val="96EEBF0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332620F"/>
    <w:multiLevelType w:val="hybridMultilevel"/>
    <w:tmpl w:val="F8CC41F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56400CE0"/>
    <w:multiLevelType w:val="hybridMultilevel"/>
    <w:tmpl w:val="F056D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153FFC"/>
    <w:multiLevelType w:val="hybridMultilevel"/>
    <w:tmpl w:val="DC8ED8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5BB0FFE"/>
    <w:multiLevelType w:val="hybridMultilevel"/>
    <w:tmpl w:val="74D8E4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C96AE4"/>
    <w:multiLevelType w:val="hybridMultilevel"/>
    <w:tmpl w:val="F8CC41F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7CC2779C"/>
    <w:multiLevelType w:val="hybridMultilevel"/>
    <w:tmpl w:val="F8CC41F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1"/>
  </w:num>
  <w:num w:numId="2">
    <w:abstractNumId w:val="12"/>
  </w:num>
  <w:num w:numId="3">
    <w:abstractNumId w:val="1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3"/>
  </w:num>
  <w:num w:numId="7">
    <w:abstractNumId w:val="23"/>
  </w:num>
  <w:num w:numId="8">
    <w:abstractNumId w:val="34"/>
  </w:num>
  <w:num w:numId="9">
    <w:abstractNumId w:val="32"/>
  </w:num>
  <w:num w:numId="10">
    <w:abstractNumId w:val="9"/>
  </w:num>
  <w:num w:numId="11">
    <w:abstractNumId w:val="17"/>
  </w:num>
  <w:num w:numId="12">
    <w:abstractNumId w:val="5"/>
  </w:num>
  <w:num w:numId="13">
    <w:abstractNumId w:val="8"/>
  </w:num>
  <w:num w:numId="14">
    <w:abstractNumId w:val="14"/>
  </w:num>
  <w:num w:numId="15">
    <w:abstractNumId w:val="4"/>
  </w:num>
  <w:num w:numId="16">
    <w:abstractNumId w:val="11"/>
  </w:num>
  <w:num w:numId="17">
    <w:abstractNumId w:val="1"/>
  </w:num>
  <w:num w:numId="18">
    <w:abstractNumId w:val="20"/>
  </w:num>
  <w:num w:numId="19">
    <w:abstractNumId w:val="22"/>
  </w:num>
  <w:num w:numId="20">
    <w:abstractNumId w:val="25"/>
  </w:num>
  <w:num w:numId="21">
    <w:abstractNumId w:val="13"/>
  </w:num>
  <w:num w:numId="22">
    <w:abstractNumId w:val="6"/>
  </w:num>
  <w:num w:numId="23">
    <w:abstractNumId w:val="3"/>
  </w:num>
  <w:num w:numId="24">
    <w:abstractNumId w:val="31"/>
  </w:num>
  <w:num w:numId="25">
    <w:abstractNumId w:val="28"/>
  </w:num>
  <w:num w:numId="26">
    <w:abstractNumId w:val="16"/>
  </w:num>
  <w:num w:numId="27">
    <w:abstractNumId w:val="15"/>
  </w:num>
  <w:num w:numId="28">
    <w:abstractNumId w:val="27"/>
  </w:num>
  <w:num w:numId="29">
    <w:abstractNumId w:val="0"/>
  </w:num>
  <w:num w:numId="30">
    <w:abstractNumId w:val="7"/>
  </w:num>
  <w:num w:numId="31">
    <w:abstractNumId w:val="2"/>
  </w:num>
  <w:num w:numId="32">
    <w:abstractNumId w:val="30"/>
  </w:num>
  <w:num w:numId="33">
    <w:abstractNumId w:val="26"/>
  </w:num>
  <w:num w:numId="34">
    <w:abstractNumId w:val="18"/>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45"/>
    <w:rsid w:val="0000600B"/>
    <w:rsid w:val="00007DB3"/>
    <w:rsid w:val="00010A9F"/>
    <w:rsid w:val="00012492"/>
    <w:rsid w:val="00017003"/>
    <w:rsid w:val="00026558"/>
    <w:rsid w:val="00036F24"/>
    <w:rsid w:val="00041860"/>
    <w:rsid w:val="00042387"/>
    <w:rsid w:val="00055B69"/>
    <w:rsid w:val="00056572"/>
    <w:rsid w:val="00056EF4"/>
    <w:rsid w:val="0006198D"/>
    <w:rsid w:val="00067299"/>
    <w:rsid w:val="00075DF7"/>
    <w:rsid w:val="00077DF1"/>
    <w:rsid w:val="00081AC4"/>
    <w:rsid w:val="0008468C"/>
    <w:rsid w:val="00086BE3"/>
    <w:rsid w:val="0009059C"/>
    <w:rsid w:val="00096F69"/>
    <w:rsid w:val="000A22C8"/>
    <w:rsid w:val="000A3FBE"/>
    <w:rsid w:val="000A7FD2"/>
    <w:rsid w:val="000B0C87"/>
    <w:rsid w:val="000B50E9"/>
    <w:rsid w:val="000B71CB"/>
    <w:rsid w:val="000C3630"/>
    <w:rsid w:val="000C7491"/>
    <w:rsid w:val="000D6EBF"/>
    <w:rsid w:val="000E0037"/>
    <w:rsid w:val="000E1C29"/>
    <w:rsid w:val="000E41F3"/>
    <w:rsid w:val="000E5615"/>
    <w:rsid w:val="000F207D"/>
    <w:rsid w:val="000F3969"/>
    <w:rsid w:val="000F5B03"/>
    <w:rsid w:val="000F5B84"/>
    <w:rsid w:val="000F71DC"/>
    <w:rsid w:val="00103BE8"/>
    <w:rsid w:val="00105AC3"/>
    <w:rsid w:val="00111675"/>
    <w:rsid w:val="00112C53"/>
    <w:rsid w:val="00114DF7"/>
    <w:rsid w:val="00120FA0"/>
    <w:rsid w:val="0012655D"/>
    <w:rsid w:val="00127867"/>
    <w:rsid w:val="001363B9"/>
    <w:rsid w:val="00144137"/>
    <w:rsid w:val="00152CF0"/>
    <w:rsid w:val="0015460E"/>
    <w:rsid w:val="00160CB5"/>
    <w:rsid w:val="001612AF"/>
    <w:rsid w:val="001654F3"/>
    <w:rsid w:val="0016659C"/>
    <w:rsid w:val="00174E25"/>
    <w:rsid w:val="0018093A"/>
    <w:rsid w:val="00190258"/>
    <w:rsid w:val="00191B76"/>
    <w:rsid w:val="001948F0"/>
    <w:rsid w:val="00195DB6"/>
    <w:rsid w:val="001A2578"/>
    <w:rsid w:val="001A7D29"/>
    <w:rsid w:val="001B20B8"/>
    <w:rsid w:val="001B33D0"/>
    <w:rsid w:val="001B6C1F"/>
    <w:rsid w:val="001D1056"/>
    <w:rsid w:val="001E5C25"/>
    <w:rsid w:val="001F4DD8"/>
    <w:rsid w:val="001F53C0"/>
    <w:rsid w:val="001F5D8F"/>
    <w:rsid w:val="001F6BEA"/>
    <w:rsid w:val="00221D33"/>
    <w:rsid w:val="00235238"/>
    <w:rsid w:val="00237063"/>
    <w:rsid w:val="00240893"/>
    <w:rsid w:val="0024242D"/>
    <w:rsid w:val="002431D6"/>
    <w:rsid w:val="0025033E"/>
    <w:rsid w:val="00251DE9"/>
    <w:rsid w:val="0026031B"/>
    <w:rsid w:val="0026303C"/>
    <w:rsid w:val="002653AE"/>
    <w:rsid w:val="00267226"/>
    <w:rsid w:val="00277698"/>
    <w:rsid w:val="00277BDC"/>
    <w:rsid w:val="00285F19"/>
    <w:rsid w:val="002A36DE"/>
    <w:rsid w:val="002B0F5D"/>
    <w:rsid w:val="002B28F5"/>
    <w:rsid w:val="002B4C57"/>
    <w:rsid w:val="002B6A3A"/>
    <w:rsid w:val="002C1AE6"/>
    <w:rsid w:val="002C422F"/>
    <w:rsid w:val="002C749A"/>
    <w:rsid w:val="002E0DBA"/>
    <w:rsid w:val="002E585A"/>
    <w:rsid w:val="002E67FD"/>
    <w:rsid w:val="002F16B8"/>
    <w:rsid w:val="00303AC9"/>
    <w:rsid w:val="003069FD"/>
    <w:rsid w:val="00312E1A"/>
    <w:rsid w:val="003133D0"/>
    <w:rsid w:val="00313CA7"/>
    <w:rsid w:val="003204AD"/>
    <w:rsid w:val="00320CC9"/>
    <w:rsid w:val="00320EE5"/>
    <w:rsid w:val="00322291"/>
    <w:rsid w:val="00322C86"/>
    <w:rsid w:val="00326AA7"/>
    <w:rsid w:val="003318DB"/>
    <w:rsid w:val="00334E82"/>
    <w:rsid w:val="00337D2F"/>
    <w:rsid w:val="0034414F"/>
    <w:rsid w:val="0034483D"/>
    <w:rsid w:val="0034629C"/>
    <w:rsid w:val="0034727C"/>
    <w:rsid w:val="00351DE0"/>
    <w:rsid w:val="00357710"/>
    <w:rsid w:val="00362E44"/>
    <w:rsid w:val="00365FAA"/>
    <w:rsid w:val="00371E34"/>
    <w:rsid w:val="00372BF5"/>
    <w:rsid w:val="003903BB"/>
    <w:rsid w:val="003A07CB"/>
    <w:rsid w:val="003A1C2D"/>
    <w:rsid w:val="003A3693"/>
    <w:rsid w:val="003A392B"/>
    <w:rsid w:val="003A3D69"/>
    <w:rsid w:val="003A3F84"/>
    <w:rsid w:val="003A6E2D"/>
    <w:rsid w:val="003B3C07"/>
    <w:rsid w:val="003B56A8"/>
    <w:rsid w:val="003C1951"/>
    <w:rsid w:val="003C28B0"/>
    <w:rsid w:val="003C49CC"/>
    <w:rsid w:val="003D510F"/>
    <w:rsid w:val="003E075A"/>
    <w:rsid w:val="003F2833"/>
    <w:rsid w:val="003F67DD"/>
    <w:rsid w:val="004002B2"/>
    <w:rsid w:val="0040077C"/>
    <w:rsid w:val="00403AB1"/>
    <w:rsid w:val="00403AD9"/>
    <w:rsid w:val="00403F12"/>
    <w:rsid w:val="00415667"/>
    <w:rsid w:val="00416AE8"/>
    <w:rsid w:val="00417910"/>
    <w:rsid w:val="004206F9"/>
    <w:rsid w:val="00424514"/>
    <w:rsid w:val="0042625C"/>
    <w:rsid w:val="00434605"/>
    <w:rsid w:val="00440F13"/>
    <w:rsid w:val="00445F1B"/>
    <w:rsid w:val="00454015"/>
    <w:rsid w:val="00462D78"/>
    <w:rsid w:val="0046321D"/>
    <w:rsid w:val="00464192"/>
    <w:rsid w:val="0046455A"/>
    <w:rsid w:val="0046722D"/>
    <w:rsid w:val="00467AFC"/>
    <w:rsid w:val="00470616"/>
    <w:rsid w:val="00470866"/>
    <w:rsid w:val="00472C18"/>
    <w:rsid w:val="00480640"/>
    <w:rsid w:val="00480CC2"/>
    <w:rsid w:val="00481E80"/>
    <w:rsid w:val="00483F2B"/>
    <w:rsid w:val="00484B46"/>
    <w:rsid w:val="0049222C"/>
    <w:rsid w:val="00493FC5"/>
    <w:rsid w:val="004A0197"/>
    <w:rsid w:val="004A3F9B"/>
    <w:rsid w:val="004A48EC"/>
    <w:rsid w:val="004B052D"/>
    <w:rsid w:val="004B233F"/>
    <w:rsid w:val="004B2585"/>
    <w:rsid w:val="004B428B"/>
    <w:rsid w:val="004B4FCB"/>
    <w:rsid w:val="004B58AF"/>
    <w:rsid w:val="004D281A"/>
    <w:rsid w:val="004D2B11"/>
    <w:rsid w:val="004D748D"/>
    <w:rsid w:val="004E6FB6"/>
    <w:rsid w:val="004E7B06"/>
    <w:rsid w:val="004F05F7"/>
    <w:rsid w:val="004F2CCE"/>
    <w:rsid w:val="004F5320"/>
    <w:rsid w:val="004F7197"/>
    <w:rsid w:val="005031AC"/>
    <w:rsid w:val="00506F4A"/>
    <w:rsid w:val="00511E5D"/>
    <w:rsid w:val="005130E9"/>
    <w:rsid w:val="00520DA8"/>
    <w:rsid w:val="00521A17"/>
    <w:rsid w:val="005251B0"/>
    <w:rsid w:val="005269FC"/>
    <w:rsid w:val="00537E92"/>
    <w:rsid w:val="0054076D"/>
    <w:rsid w:val="005436BC"/>
    <w:rsid w:val="00545E8F"/>
    <w:rsid w:val="00555FA7"/>
    <w:rsid w:val="00556045"/>
    <w:rsid w:val="00557195"/>
    <w:rsid w:val="00564D70"/>
    <w:rsid w:val="00570F47"/>
    <w:rsid w:val="005743A9"/>
    <w:rsid w:val="00575D56"/>
    <w:rsid w:val="00577E9D"/>
    <w:rsid w:val="00580A17"/>
    <w:rsid w:val="0058323E"/>
    <w:rsid w:val="00586489"/>
    <w:rsid w:val="00591A71"/>
    <w:rsid w:val="005A7DB7"/>
    <w:rsid w:val="005B1B48"/>
    <w:rsid w:val="005B57A1"/>
    <w:rsid w:val="005C35D9"/>
    <w:rsid w:val="005C3E07"/>
    <w:rsid w:val="005D2A88"/>
    <w:rsid w:val="005D4818"/>
    <w:rsid w:val="005E2831"/>
    <w:rsid w:val="005E3EAD"/>
    <w:rsid w:val="005E4D3C"/>
    <w:rsid w:val="005E7EDB"/>
    <w:rsid w:val="005F05D6"/>
    <w:rsid w:val="005F4ADA"/>
    <w:rsid w:val="005F527E"/>
    <w:rsid w:val="00600872"/>
    <w:rsid w:val="00601D94"/>
    <w:rsid w:val="00602C10"/>
    <w:rsid w:val="0060549C"/>
    <w:rsid w:val="00605965"/>
    <w:rsid w:val="00613D7F"/>
    <w:rsid w:val="0061584E"/>
    <w:rsid w:val="00620239"/>
    <w:rsid w:val="00620E5E"/>
    <w:rsid w:val="006235DD"/>
    <w:rsid w:val="00624606"/>
    <w:rsid w:val="0062552F"/>
    <w:rsid w:val="00626ABE"/>
    <w:rsid w:val="006306D4"/>
    <w:rsid w:val="006314F5"/>
    <w:rsid w:val="00633440"/>
    <w:rsid w:val="0063491C"/>
    <w:rsid w:val="0063657C"/>
    <w:rsid w:val="00651734"/>
    <w:rsid w:val="00656371"/>
    <w:rsid w:val="00656B34"/>
    <w:rsid w:val="00660A7F"/>
    <w:rsid w:val="0066363C"/>
    <w:rsid w:val="006653E8"/>
    <w:rsid w:val="006719E9"/>
    <w:rsid w:val="0067348C"/>
    <w:rsid w:val="006828C3"/>
    <w:rsid w:val="00682B86"/>
    <w:rsid w:val="00686FB8"/>
    <w:rsid w:val="0069082D"/>
    <w:rsid w:val="006959E9"/>
    <w:rsid w:val="006A1C42"/>
    <w:rsid w:val="006B5BC6"/>
    <w:rsid w:val="006C0CA0"/>
    <w:rsid w:val="006D2C2D"/>
    <w:rsid w:val="006D5F58"/>
    <w:rsid w:val="006D6AFB"/>
    <w:rsid w:val="006F1E4C"/>
    <w:rsid w:val="007029D5"/>
    <w:rsid w:val="007044AA"/>
    <w:rsid w:val="00720269"/>
    <w:rsid w:val="00725969"/>
    <w:rsid w:val="00726BDE"/>
    <w:rsid w:val="00731B68"/>
    <w:rsid w:val="0074047F"/>
    <w:rsid w:val="00743100"/>
    <w:rsid w:val="0074429A"/>
    <w:rsid w:val="00752DD4"/>
    <w:rsid w:val="0075433B"/>
    <w:rsid w:val="00756AF1"/>
    <w:rsid w:val="007628AF"/>
    <w:rsid w:val="00766B86"/>
    <w:rsid w:val="00771A1D"/>
    <w:rsid w:val="00775772"/>
    <w:rsid w:val="00776CE8"/>
    <w:rsid w:val="00781656"/>
    <w:rsid w:val="00784E66"/>
    <w:rsid w:val="00792E2A"/>
    <w:rsid w:val="007A5A6E"/>
    <w:rsid w:val="007A7716"/>
    <w:rsid w:val="007B4828"/>
    <w:rsid w:val="007C18E6"/>
    <w:rsid w:val="007C3F88"/>
    <w:rsid w:val="007C48BD"/>
    <w:rsid w:val="007C6934"/>
    <w:rsid w:val="007C6A20"/>
    <w:rsid w:val="007D0147"/>
    <w:rsid w:val="007D29DB"/>
    <w:rsid w:val="007D3650"/>
    <w:rsid w:val="007D44FE"/>
    <w:rsid w:val="007E457B"/>
    <w:rsid w:val="007E5EF5"/>
    <w:rsid w:val="007E6236"/>
    <w:rsid w:val="0080149B"/>
    <w:rsid w:val="0080501B"/>
    <w:rsid w:val="00805DF9"/>
    <w:rsid w:val="008070E5"/>
    <w:rsid w:val="00814E43"/>
    <w:rsid w:val="00823F8F"/>
    <w:rsid w:val="008252FF"/>
    <w:rsid w:val="008327E1"/>
    <w:rsid w:val="00835867"/>
    <w:rsid w:val="00836E7A"/>
    <w:rsid w:val="00841BB4"/>
    <w:rsid w:val="00843991"/>
    <w:rsid w:val="00844D07"/>
    <w:rsid w:val="00847657"/>
    <w:rsid w:val="00851B56"/>
    <w:rsid w:val="00856938"/>
    <w:rsid w:val="00863329"/>
    <w:rsid w:val="0086375C"/>
    <w:rsid w:val="00875F54"/>
    <w:rsid w:val="0088549B"/>
    <w:rsid w:val="008856B5"/>
    <w:rsid w:val="00885CED"/>
    <w:rsid w:val="008866D0"/>
    <w:rsid w:val="00891BEC"/>
    <w:rsid w:val="008939B1"/>
    <w:rsid w:val="00895F2A"/>
    <w:rsid w:val="008A3B2B"/>
    <w:rsid w:val="008A630A"/>
    <w:rsid w:val="008B77C7"/>
    <w:rsid w:val="008C0747"/>
    <w:rsid w:val="008C2E33"/>
    <w:rsid w:val="008C60F6"/>
    <w:rsid w:val="008C733A"/>
    <w:rsid w:val="008E26CD"/>
    <w:rsid w:val="008E54B8"/>
    <w:rsid w:val="008E65A2"/>
    <w:rsid w:val="008E6DAA"/>
    <w:rsid w:val="00915FAF"/>
    <w:rsid w:val="0091785E"/>
    <w:rsid w:val="00934455"/>
    <w:rsid w:val="009346D1"/>
    <w:rsid w:val="0094381D"/>
    <w:rsid w:val="009511CC"/>
    <w:rsid w:val="009528C1"/>
    <w:rsid w:val="00955FEB"/>
    <w:rsid w:val="0096409F"/>
    <w:rsid w:val="009663EA"/>
    <w:rsid w:val="00966DE7"/>
    <w:rsid w:val="00967083"/>
    <w:rsid w:val="009714E3"/>
    <w:rsid w:val="009718DC"/>
    <w:rsid w:val="00971B83"/>
    <w:rsid w:val="009775AC"/>
    <w:rsid w:val="009831CE"/>
    <w:rsid w:val="00984E45"/>
    <w:rsid w:val="00990CC2"/>
    <w:rsid w:val="00992180"/>
    <w:rsid w:val="00994A62"/>
    <w:rsid w:val="009A156D"/>
    <w:rsid w:val="009A60B6"/>
    <w:rsid w:val="009B3043"/>
    <w:rsid w:val="009B45BA"/>
    <w:rsid w:val="009B5A59"/>
    <w:rsid w:val="009C0B2F"/>
    <w:rsid w:val="009C1F05"/>
    <w:rsid w:val="009C5341"/>
    <w:rsid w:val="009E0C97"/>
    <w:rsid w:val="009E4F01"/>
    <w:rsid w:val="009E539E"/>
    <w:rsid w:val="009F073C"/>
    <w:rsid w:val="009F173C"/>
    <w:rsid w:val="00A03802"/>
    <w:rsid w:val="00A04F41"/>
    <w:rsid w:val="00A1123D"/>
    <w:rsid w:val="00A12AB2"/>
    <w:rsid w:val="00A232D5"/>
    <w:rsid w:val="00A317EB"/>
    <w:rsid w:val="00A35B0F"/>
    <w:rsid w:val="00A40847"/>
    <w:rsid w:val="00A459C9"/>
    <w:rsid w:val="00A5093A"/>
    <w:rsid w:val="00A524DE"/>
    <w:rsid w:val="00A54804"/>
    <w:rsid w:val="00A56ED4"/>
    <w:rsid w:val="00A60518"/>
    <w:rsid w:val="00A61005"/>
    <w:rsid w:val="00A61E5F"/>
    <w:rsid w:val="00A6605E"/>
    <w:rsid w:val="00A66F83"/>
    <w:rsid w:val="00A7717D"/>
    <w:rsid w:val="00A85332"/>
    <w:rsid w:val="00A86885"/>
    <w:rsid w:val="00A87FE4"/>
    <w:rsid w:val="00A95E23"/>
    <w:rsid w:val="00A97CE4"/>
    <w:rsid w:val="00AA2FC2"/>
    <w:rsid w:val="00AA5390"/>
    <w:rsid w:val="00AB0571"/>
    <w:rsid w:val="00AB299A"/>
    <w:rsid w:val="00AB29AB"/>
    <w:rsid w:val="00AB2B78"/>
    <w:rsid w:val="00AB57C7"/>
    <w:rsid w:val="00AB5D79"/>
    <w:rsid w:val="00AB633D"/>
    <w:rsid w:val="00AB6E28"/>
    <w:rsid w:val="00AB7B42"/>
    <w:rsid w:val="00AC055D"/>
    <w:rsid w:val="00AC6B17"/>
    <w:rsid w:val="00AD3CD5"/>
    <w:rsid w:val="00AD3F3E"/>
    <w:rsid w:val="00AE367D"/>
    <w:rsid w:val="00AF5D16"/>
    <w:rsid w:val="00AF6319"/>
    <w:rsid w:val="00B03EB5"/>
    <w:rsid w:val="00B13C73"/>
    <w:rsid w:val="00B20D53"/>
    <w:rsid w:val="00B21AB4"/>
    <w:rsid w:val="00B277F2"/>
    <w:rsid w:val="00B32CF1"/>
    <w:rsid w:val="00B35069"/>
    <w:rsid w:val="00B43EEE"/>
    <w:rsid w:val="00B44431"/>
    <w:rsid w:val="00B54170"/>
    <w:rsid w:val="00B552A8"/>
    <w:rsid w:val="00B55D39"/>
    <w:rsid w:val="00B606F9"/>
    <w:rsid w:val="00B621C5"/>
    <w:rsid w:val="00B6423B"/>
    <w:rsid w:val="00B75132"/>
    <w:rsid w:val="00B80039"/>
    <w:rsid w:val="00B83AD3"/>
    <w:rsid w:val="00B87166"/>
    <w:rsid w:val="00B924AF"/>
    <w:rsid w:val="00B93FC4"/>
    <w:rsid w:val="00BA47A2"/>
    <w:rsid w:val="00BA6E05"/>
    <w:rsid w:val="00BB2258"/>
    <w:rsid w:val="00BB6C8D"/>
    <w:rsid w:val="00BC12E9"/>
    <w:rsid w:val="00BC158C"/>
    <w:rsid w:val="00BC4CE6"/>
    <w:rsid w:val="00BE3E87"/>
    <w:rsid w:val="00BE494F"/>
    <w:rsid w:val="00BE6D7C"/>
    <w:rsid w:val="00BF0BC5"/>
    <w:rsid w:val="00BF0F68"/>
    <w:rsid w:val="00BF1341"/>
    <w:rsid w:val="00BF3A99"/>
    <w:rsid w:val="00C02DC9"/>
    <w:rsid w:val="00C07FD3"/>
    <w:rsid w:val="00C13D6C"/>
    <w:rsid w:val="00C17E0A"/>
    <w:rsid w:val="00C23BAE"/>
    <w:rsid w:val="00C24C98"/>
    <w:rsid w:val="00C262F1"/>
    <w:rsid w:val="00C26A03"/>
    <w:rsid w:val="00C32F45"/>
    <w:rsid w:val="00C3329D"/>
    <w:rsid w:val="00C37D5A"/>
    <w:rsid w:val="00C43B12"/>
    <w:rsid w:val="00C442A4"/>
    <w:rsid w:val="00C57C85"/>
    <w:rsid w:val="00C63F61"/>
    <w:rsid w:val="00C72CDE"/>
    <w:rsid w:val="00C74173"/>
    <w:rsid w:val="00C81C74"/>
    <w:rsid w:val="00C8224A"/>
    <w:rsid w:val="00C9346B"/>
    <w:rsid w:val="00C96189"/>
    <w:rsid w:val="00CA0084"/>
    <w:rsid w:val="00CA0D90"/>
    <w:rsid w:val="00CA0E5B"/>
    <w:rsid w:val="00CB060C"/>
    <w:rsid w:val="00CB1EA9"/>
    <w:rsid w:val="00CB29C3"/>
    <w:rsid w:val="00CB4411"/>
    <w:rsid w:val="00CC50FA"/>
    <w:rsid w:val="00CC7812"/>
    <w:rsid w:val="00CD1233"/>
    <w:rsid w:val="00CD3148"/>
    <w:rsid w:val="00CE3923"/>
    <w:rsid w:val="00CE41E4"/>
    <w:rsid w:val="00CF156D"/>
    <w:rsid w:val="00CF5E4D"/>
    <w:rsid w:val="00D05B9D"/>
    <w:rsid w:val="00D1579D"/>
    <w:rsid w:val="00D15ED1"/>
    <w:rsid w:val="00D2098A"/>
    <w:rsid w:val="00D372CD"/>
    <w:rsid w:val="00D44065"/>
    <w:rsid w:val="00D463DC"/>
    <w:rsid w:val="00D50168"/>
    <w:rsid w:val="00D5178D"/>
    <w:rsid w:val="00D51D56"/>
    <w:rsid w:val="00D51EFF"/>
    <w:rsid w:val="00D52409"/>
    <w:rsid w:val="00D62EA9"/>
    <w:rsid w:val="00D70247"/>
    <w:rsid w:val="00D72AF3"/>
    <w:rsid w:val="00D74855"/>
    <w:rsid w:val="00D85A9E"/>
    <w:rsid w:val="00D92ACE"/>
    <w:rsid w:val="00D944C1"/>
    <w:rsid w:val="00D954ED"/>
    <w:rsid w:val="00DA0F48"/>
    <w:rsid w:val="00DA173B"/>
    <w:rsid w:val="00DA43E4"/>
    <w:rsid w:val="00DB3D7A"/>
    <w:rsid w:val="00DB5BBB"/>
    <w:rsid w:val="00DB614E"/>
    <w:rsid w:val="00DC01F9"/>
    <w:rsid w:val="00DC2F2A"/>
    <w:rsid w:val="00DD2B78"/>
    <w:rsid w:val="00DD57B5"/>
    <w:rsid w:val="00DE561E"/>
    <w:rsid w:val="00DE618A"/>
    <w:rsid w:val="00DF0007"/>
    <w:rsid w:val="00DF2E9C"/>
    <w:rsid w:val="00E10A72"/>
    <w:rsid w:val="00E13A0E"/>
    <w:rsid w:val="00E13EF4"/>
    <w:rsid w:val="00E269AD"/>
    <w:rsid w:val="00E332B0"/>
    <w:rsid w:val="00E34D52"/>
    <w:rsid w:val="00E40005"/>
    <w:rsid w:val="00E4001B"/>
    <w:rsid w:val="00E416F4"/>
    <w:rsid w:val="00E42FA2"/>
    <w:rsid w:val="00E45FC2"/>
    <w:rsid w:val="00E52C4A"/>
    <w:rsid w:val="00E55FB8"/>
    <w:rsid w:val="00E57811"/>
    <w:rsid w:val="00E5786B"/>
    <w:rsid w:val="00E60AC5"/>
    <w:rsid w:val="00E636FD"/>
    <w:rsid w:val="00E64DEE"/>
    <w:rsid w:val="00E66A25"/>
    <w:rsid w:val="00E67007"/>
    <w:rsid w:val="00E6746C"/>
    <w:rsid w:val="00E72B30"/>
    <w:rsid w:val="00E77C6A"/>
    <w:rsid w:val="00E8330C"/>
    <w:rsid w:val="00E90906"/>
    <w:rsid w:val="00E90BA8"/>
    <w:rsid w:val="00E9187D"/>
    <w:rsid w:val="00E91FFC"/>
    <w:rsid w:val="00E920C0"/>
    <w:rsid w:val="00E96985"/>
    <w:rsid w:val="00EA2524"/>
    <w:rsid w:val="00EA5D9F"/>
    <w:rsid w:val="00EB3118"/>
    <w:rsid w:val="00EC189A"/>
    <w:rsid w:val="00EC7B16"/>
    <w:rsid w:val="00ED27F4"/>
    <w:rsid w:val="00ED5B4E"/>
    <w:rsid w:val="00EE12CB"/>
    <w:rsid w:val="00EE3126"/>
    <w:rsid w:val="00EE5904"/>
    <w:rsid w:val="00EE6F34"/>
    <w:rsid w:val="00EF68F3"/>
    <w:rsid w:val="00EF6CC3"/>
    <w:rsid w:val="00EF728C"/>
    <w:rsid w:val="00F06D00"/>
    <w:rsid w:val="00F167A3"/>
    <w:rsid w:val="00F200E0"/>
    <w:rsid w:val="00F22781"/>
    <w:rsid w:val="00F257A0"/>
    <w:rsid w:val="00F3717A"/>
    <w:rsid w:val="00F40850"/>
    <w:rsid w:val="00F40F84"/>
    <w:rsid w:val="00F4188E"/>
    <w:rsid w:val="00F436DC"/>
    <w:rsid w:val="00F50C6D"/>
    <w:rsid w:val="00F52087"/>
    <w:rsid w:val="00F5297B"/>
    <w:rsid w:val="00F53EC9"/>
    <w:rsid w:val="00F62B58"/>
    <w:rsid w:val="00F7493B"/>
    <w:rsid w:val="00F750BD"/>
    <w:rsid w:val="00F76859"/>
    <w:rsid w:val="00F836FC"/>
    <w:rsid w:val="00F8548F"/>
    <w:rsid w:val="00F85FFD"/>
    <w:rsid w:val="00F8665F"/>
    <w:rsid w:val="00F9511A"/>
    <w:rsid w:val="00F97360"/>
    <w:rsid w:val="00FA225A"/>
    <w:rsid w:val="00FA7557"/>
    <w:rsid w:val="00FB50B1"/>
    <w:rsid w:val="00FD0D37"/>
    <w:rsid w:val="00FD1C84"/>
    <w:rsid w:val="00FD571E"/>
    <w:rsid w:val="00FE01A4"/>
    <w:rsid w:val="00FE2723"/>
    <w:rsid w:val="00FE4415"/>
    <w:rsid w:val="00FE4617"/>
    <w:rsid w:val="00FE472B"/>
    <w:rsid w:val="00FE5C35"/>
    <w:rsid w:val="00FF4569"/>
    <w:rsid w:val="00FF4945"/>
    <w:rsid w:val="00FF5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72C4"/>
  <w15:chartTrackingRefBased/>
  <w15:docId w15:val="{71EFD1F6-B168-4877-BA6F-4D1519E0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93"/>
    <w:pPr>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045"/>
    <w:pPr>
      <w:ind w:left="720"/>
      <w:contextualSpacing/>
    </w:pPr>
  </w:style>
  <w:style w:type="character" w:styleId="Textodelmarcadordeposicin">
    <w:name w:val="Placeholder Text"/>
    <w:uiPriority w:val="99"/>
    <w:semiHidden/>
    <w:rsid w:val="00776CE8"/>
    <w:rPr>
      <w:color w:val="808080"/>
    </w:rPr>
  </w:style>
  <w:style w:type="paragraph" w:styleId="Textodeglobo">
    <w:name w:val="Balloon Text"/>
    <w:basedOn w:val="Normal"/>
    <w:link w:val="TextodegloboCar"/>
    <w:uiPriority w:val="99"/>
    <w:semiHidden/>
    <w:unhideWhenUsed/>
    <w:rsid w:val="00776CE8"/>
    <w:rPr>
      <w:rFonts w:ascii="Tahoma" w:hAnsi="Tahoma" w:cs="Tahoma"/>
      <w:sz w:val="16"/>
      <w:szCs w:val="16"/>
    </w:rPr>
  </w:style>
  <w:style w:type="character" w:customStyle="1" w:styleId="TextodegloboCar">
    <w:name w:val="Texto de globo Car"/>
    <w:link w:val="Textodeglobo"/>
    <w:uiPriority w:val="99"/>
    <w:semiHidden/>
    <w:rsid w:val="00776CE8"/>
    <w:rPr>
      <w:rFonts w:ascii="Tahoma" w:hAnsi="Tahoma" w:cs="Tahoma"/>
      <w:sz w:val="16"/>
      <w:szCs w:val="16"/>
    </w:rPr>
  </w:style>
  <w:style w:type="paragraph" w:styleId="Textonotapie">
    <w:name w:val="footnote text"/>
    <w:basedOn w:val="Normal"/>
    <w:link w:val="TextonotapieCar"/>
    <w:unhideWhenUsed/>
    <w:rsid w:val="00726BDE"/>
    <w:rPr>
      <w:sz w:val="20"/>
      <w:szCs w:val="20"/>
    </w:rPr>
  </w:style>
  <w:style w:type="character" w:customStyle="1" w:styleId="TextonotapieCar">
    <w:name w:val="Texto nota pie Car"/>
    <w:link w:val="Textonotapie"/>
    <w:rsid w:val="00726BDE"/>
    <w:rPr>
      <w:sz w:val="20"/>
      <w:szCs w:val="20"/>
    </w:rPr>
  </w:style>
  <w:style w:type="character" w:styleId="Refdenotaalpie">
    <w:name w:val="footnote reference"/>
    <w:semiHidden/>
    <w:unhideWhenUsed/>
    <w:rsid w:val="00726BDE"/>
    <w:rPr>
      <w:vertAlign w:val="superscript"/>
    </w:rPr>
  </w:style>
  <w:style w:type="table" w:styleId="Tablaconcuadrcula">
    <w:name w:val="Table Grid"/>
    <w:basedOn w:val="Tablanormal"/>
    <w:uiPriority w:val="59"/>
    <w:rsid w:val="00152C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156D"/>
    <w:pPr>
      <w:tabs>
        <w:tab w:val="center" w:pos="4419"/>
        <w:tab w:val="right" w:pos="8838"/>
      </w:tabs>
    </w:pPr>
  </w:style>
  <w:style w:type="character" w:customStyle="1" w:styleId="EncabezadoCar">
    <w:name w:val="Encabezado Car"/>
    <w:link w:val="Encabezado"/>
    <w:uiPriority w:val="99"/>
    <w:rsid w:val="009A156D"/>
    <w:rPr>
      <w:sz w:val="22"/>
      <w:szCs w:val="22"/>
      <w:lang w:val="es-ES" w:eastAsia="en-US"/>
    </w:rPr>
  </w:style>
  <w:style w:type="paragraph" w:styleId="Piedepgina">
    <w:name w:val="footer"/>
    <w:basedOn w:val="Normal"/>
    <w:link w:val="PiedepginaCar"/>
    <w:uiPriority w:val="99"/>
    <w:unhideWhenUsed/>
    <w:rsid w:val="009A156D"/>
    <w:pPr>
      <w:tabs>
        <w:tab w:val="center" w:pos="4419"/>
        <w:tab w:val="right" w:pos="8838"/>
      </w:tabs>
    </w:pPr>
  </w:style>
  <w:style w:type="character" w:customStyle="1" w:styleId="PiedepginaCar">
    <w:name w:val="Pie de página Car"/>
    <w:link w:val="Piedepgina"/>
    <w:uiPriority w:val="99"/>
    <w:rsid w:val="009A156D"/>
    <w:rPr>
      <w:sz w:val="22"/>
      <w:szCs w:val="22"/>
      <w:lang w:val="es-ES" w:eastAsia="en-US"/>
    </w:rPr>
  </w:style>
  <w:style w:type="character" w:styleId="nfasisintenso">
    <w:name w:val="Intense Emphasis"/>
    <w:uiPriority w:val="21"/>
    <w:qFormat/>
    <w:rsid w:val="0069082D"/>
    <w:rPr>
      <w:i/>
      <w:iCs/>
      <w:color w:val="5B9BD5"/>
    </w:rPr>
  </w:style>
  <w:style w:type="character" w:styleId="Refdecomentario">
    <w:name w:val="annotation reference"/>
    <w:basedOn w:val="Fuentedeprrafopredeter"/>
    <w:uiPriority w:val="99"/>
    <w:semiHidden/>
    <w:unhideWhenUsed/>
    <w:rsid w:val="004B233F"/>
    <w:rPr>
      <w:sz w:val="16"/>
      <w:szCs w:val="16"/>
    </w:rPr>
  </w:style>
  <w:style w:type="paragraph" w:styleId="Textocomentario">
    <w:name w:val="annotation text"/>
    <w:basedOn w:val="Normal"/>
    <w:link w:val="TextocomentarioCar"/>
    <w:uiPriority w:val="99"/>
    <w:semiHidden/>
    <w:unhideWhenUsed/>
    <w:rsid w:val="004B233F"/>
    <w:rPr>
      <w:sz w:val="20"/>
      <w:szCs w:val="20"/>
    </w:rPr>
  </w:style>
  <w:style w:type="character" w:customStyle="1" w:styleId="TextocomentarioCar">
    <w:name w:val="Texto comentario Car"/>
    <w:basedOn w:val="Fuentedeprrafopredeter"/>
    <w:link w:val="Textocomentario"/>
    <w:uiPriority w:val="99"/>
    <w:semiHidden/>
    <w:rsid w:val="004B233F"/>
    <w:rPr>
      <w:lang w:val="es-ES" w:eastAsia="en-US"/>
    </w:rPr>
  </w:style>
  <w:style w:type="paragraph" w:styleId="Asuntodelcomentario">
    <w:name w:val="annotation subject"/>
    <w:basedOn w:val="Textocomentario"/>
    <w:next w:val="Textocomentario"/>
    <w:link w:val="AsuntodelcomentarioCar"/>
    <w:uiPriority w:val="99"/>
    <w:semiHidden/>
    <w:unhideWhenUsed/>
    <w:rsid w:val="004B233F"/>
    <w:rPr>
      <w:b/>
      <w:bCs/>
    </w:rPr>
  </w:style>
  <w:style w:type="character" w:customStyle="1" w:styleId="AsuntodelcomentarioCar">
    <w:name w:val="Asunto del comentario Car"/>
    <w:basedOn w:val="TextocomentarioCar"/>
    <w:link w:val="Asuntodelcomentario"/>
    <w:uiPriority w:val="99"/>
    <w:semiHidden/>
    <w:rsid w:val="004B233F"/>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08540">
      <w:bodyDiv w:val="1"/>
      <w:marLeft w:val="0"/>
      <w:marRight w:val="0"/>
      <w:marTop w:val="0"/>
      <w:marBottom w:val="0"/>
      <w:divBdr>
        <w:top w:val="none" w:sz="0" w:space="0" w:color="auto"/>
        <w:left w:val="none" w:sz="0" w:space="0" w:color="auto"/>
        <w:bottom w:val="none" w:sz="0" w:space="0" w:color="auto"/>
        <w:right w:val="none" w:sz="0" w:space="0" w:color="auto"/>
      </w:divBdr>
    </w:div>
    <w:div w:id="950744711">
      <w:bodyDiv w:val="1"/>
      <w:marLeft w:val="0"/>
      <w:marRight w:val="0"/>
      <w:marTop w:val="0"/>
      <w:marBottom w:val="0"/>
      <w:divBdr>
        <w:top w:val="none" w:sz="0" w:space="0" w:color="auto"/>
        <w:left w:val="none" w:sz="0" w:space="0" w:color="auto"/>
        <w:bottom w:val="none" w:sz="0" w:space="0" w:color="auto"/>
        <w:right w:val="none" w:sz="0" w:space="0" w:color="auto"/>
      </w:divBdr>
    </w:div>
    <w:div w:id="1505315336">
      <w:bodyDiv w:val="1"/>
      <w:marLeft w:val="0"/>
      <w:marRight w:val="0"/>
      <w:marTop w:val="0"/>
      <w:marBottom w:val="0"/>
      <w:divBdr>
        <w:top w:val="none" w:sz="0" w:space="0" w:color="auto"/>
        <w:left w:val="none" w:sz="0" w:space="0" w:color="auto"/>
        <w:bottom w:val="none" w:sz="0" w:space="0" w:color="auto"/>
        <w:right w:val="none" w:sz="0" w:space="0" w:color="auto"/>
      </w:divBdr>
    </w:div>
    <w:div w:id="1656029906">
      <w:bodyDiv w:val="1"/>
      <w:marLeft w:val="0"/>
      <w:marRight w:val="0"/>
      <w:marTop w:val="0"/>
      <w:marBottom w:val="0"/>
      <w:divBdr>
        <w:top w:val="none" w:sz="0" w:space="0" w:color="auto"/>
        <w:left w:val="none" w:sz="0" w:space="0" w:color="auto"/>
        <w:bottom w:val="none" w:sz="0" w:space="0" w:color="auto"/>
        <w:right w:val="none" w:sz="0" w:space="0" w:color="auto"/>
      </w:divBdr>
    </w:div>
    <w:div w:id="1685784987">
      <w:bodyDiv w:val="1"/>
      <w:marLeft w:val="0"/>
      <w:marRight w:val="0"/>
      <w:marTop w:val="0"/>
      <w:marBottom w:val="0"/>
      <w:divBdr>
        <w:top w:val="none" w:sz="0" w:space="0" w:color="auto"/>
        <w:left w:val="none" w:sz="0" w:space="0" w:color="auto"/>
        <w:bottom w:val="none" w:sz="0" w:space="0" w:color="auto"/>
        <w:right w:val="none" w:sz="0" w:space="0" w:color="auto"/>
      </w:divBdr>
    </w:div>
    <w:div w:id="1744327761">
      <w:bodyDiv w:val="1"/>
      <w:marLeft w:val="0"/>
      <w:marRight w:val="0"/>
      <w:marTop w:val="0"/>
      <w:marBottom w:val="0"/>
      <w:divBdr>
        <w:top w:val="none" w:sz="0" w:space="0" w:color="auto"/>
        <w:left w:val="none" w:sz="0" w:space="0" w:color="auto"/>
        <w:bottom w:val="none" w:sz="0" w:space="0" w:color="auto"/>
        <w:right w:val="none" w:sz="0" w:space="0" w:color="auto"/>
      </w:divBdr>
    </w:div>
    <w:div w:id="20070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9AC6-67A6-4CFA-B173-72EE5A0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3491</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Mondragón Centeno</dc:creator>
  <cp:keywords/>
  <cp:lastModifiedBy>José Cano</cp:lastModifiedBy>
  <cp:revision>3</cp:revision>
  <cp:lastPrinted>2014-01-27T20:41:00Z</cp:lastPrinted>
  <dcterms:created xsi:type="dcterms:W3CDTF">2014-04-25T17:19:00Z</dcterms:created>
  <dcterms:modified xsi:type="dcterms:W3CDTF">2014-07-16T19:56:00Z</dcterms:modified>
</cp:coreProperties>
</file>