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09D50" w14:textId="77777777" w:rsidR="006B0AE1" w:rsidRDefault="006B0AE1" w:rsidP="00D57FF3">
      <w:pPr>
        <w:spacing w:after="0" w:line="240" w:lineRule="auto"/>
        <w:jc w:val="center"/>
        <w:rPr>
          <w:b/>
          <w:sz w:val="28"/>
        </w:rPr>
      </w:pPr>
    </w:p>
    <w:p w14:paraId="7C59AD5B" w14:textId="77777777" w:rsidR="00D57FF3" w:rsidRDefault="00D57FF3" w:rsidP="00D57FF3">
      <w:pPr>
        <w:spacing w:after="0" w:line="240" w:lineRule="auto"/>
        <w:jc w:val="center"/>
        <w:rPr>
          <w:b/>
          <w:sz w:val="28"/>
        </w:rPr>
      </w:pPr>
    </w:p>
    <w:p w14:paraId="7CAFCF0A" w14:textId="77777777" w:rsidR="00CC3233" w:rsidRPr="004F76E5" w:rsidRDefault="00802978" w:rsidP="00D57FF3">
      <w:pPr>
        <w:spacing w:after="0" w:line="240" w:lineRule="auto"/>
        <w:jc w:val="center"/>
        <w:rPr>
          <w:b/>
          <w:sz w:val="28"/>
        </w:rPr>
      </w:pPr>
      <w:r>
        <w:rPr>
          <w:b/>
          <w:sz w:val="28"/>
        </w:rPr>
        <w:t>T</w:t>
      </w:r>
      <w:bookmarkStart w:id="0" w:name="_GoBack"/>
      <w:bookmarkEnd w:id="0"/>
      <w:r>
        <w:rPr>
          <w:b/>
          <w:sz w:val="28"/>
        </w:rPr>
        <w:t>ALLER</w:t>
      </w:r>
      <w:r w:rsidR="006B0AE1">
        <w:rPr>
          <w:b/>
          <w:sz w:val="28"/>
        </w:rPr>
        <w:t xml:space="preserve"> PARA LA MÉTRICA DE LA TRANSPARENCIA 2013 – 2014 </w:t>
      </w:r>
    </w:p>
    <w:p w14:paraId="7FA6AFAF" w14:textId="77777777" w:rsidR="00CC3233" w:rsidRPr="004F76E5" w:rsidRDefault="00CC3233" w:rsidP="00D57FF3">
      <w:pPr>
        <w:spacing w:after="0" w:line="240" w:lineRule="auto"/>
        <w:jc w:val="center"/>
        <w:rPr>
          <w:sz w:val="16"/>
          <w:szCs w:val="16"/>
        </w:rPr>
      </w:pPr>
    </w:p>
    <w:p w14:paraId="38AED2EC" w14:textId="77777777" w:rsidR="00CC3233" w:rsidRDefault="00CC3233" w:rsidP="00D57FF3">
      <w:pPr>
        <w:spacing w:after="0" w:line="240" w:lineRule="auto"/>
      </w:pPr>
    </w:p>
    <w:p w14:paraId="25DE7570" w14:textId="77777777" w:rsidR="00CC3233" w:rsidRDefault="00CC3233" w:rsidP="00D57FF3">
      <w:pPr>
        <w:spacing w:after="0" w:line="240" w:lineRule="auto"/>
      </w:pPr>
    </w:p>
    <w:p w14:paraId="624C0B06" w14:textId="77777777" w:rsidR="00CC3233" w:rsidRDefault="00CC3233" w:rsidP="00D57FF3">
      <w:pPr>
        <w:spacing w:after="0" w:line="240" w:lineRule="auto"/>
        <w:jc w:val="both"/>
        <w:rPr>
          <w:b/>
        </w:rPr>
      </w:pPr>
      <w:r>
        <w:rPr>
          <w:b/>
        </w:rPr>
        <w:t>Objetivo general</w:t>
      </w:r>
      <w:r w:rsidRPr="00CC3233">
        <w:rPr>
          <w:b/>
        </w:rPr>
        <w:t>:</w:t>
      </w:r>
    </w:p>
    <w:p w14:paraId="1A4FCE02" w14:textId="77777777" w:rsidR="00E13FD6" w:rsidRPr="003C23BC" w:rsidRDefault="00E13FD6" w:rsidP="00D57FF3">
      <w:pPr>
        <w:spacing w:after="0" w:line="240" w:lineRule="auto"/>
        <w:jc w:val="both"/>
        <w:rPr>
          <w:b/>
          <w:sz w:val="16"/>
          <w:szCs w:val="16"/>
        </w:rPr>
      </w:pPr>
    </w:p>
    <w:p w14:paraId="029EDAA1" w14:textId="77777777" w:rsidR="00CC3233" w:rsidRDefault="006B0AE1" w:rsidP="00D57FF3">
      <w:pPr>
        <w:spacing w:after="0" w:line="240" w:lineRule="auto"/>
        <w:jc w:val="both"/>
      </w:pPr>
      <w:r>
        <w:t xml:space="preserve">Las actividades a desarrollar dentro </w:t>
      </w:r>
      <w:r w:rsidR="00802978">
        <w:t xml:space="preserve">de este taller </w:t>
      </w:r>
      <w:r w:rsidR="00CC3233">
        <w:t>tiene</w:t>
      </w:r>
      <w:r>
        <w:t>n</w:t>
      </w:r>
      <w:r w:rsidR="00CC3233">
        <w:t xml:space="preserve"> como propósito apoyar a</w:t>
      </w:r>
      <w:r w:rsidR="00802978">
        <w:t xml:space="preserve"> </w:t>
      </w:r>
      <w:r w:rsidR="00F55082">
        <w:t>l</w:t>
      </w:r>
      <w:r w:rsidR="00802978">
        <w:t>os órganos garantes de la transparencia de nuestro país</w:t>
      </w:r>
      <w:r w:rsidR="00802978">
        <w:rPr>
          <w:b/>
          <w:bCs/>
        </w:rPr>
        <w:t>,</w:t>
      </w:r>
      <w:r>
        <w:t xml:space="preserve"> respecto de las acciones </w:t>
      </w:r>
      <w:r w:rsidR="003C23BC">
        <w:t xml:space="preserve">proactivas </w:t>
      </w:r>
      <w:r>
        <w:t>que</w:t>
      </w:r>
      <w:r w:rsidR="001B7DB2">
        <w:t xml:space="preserve"> puede</w:t>
      </w:r>
      <w:r w:rsidR="00802978">
        <w:t>n</w:t>
      </w:r>
      <w:r w:rsidR="001B7DB2">
        <w:t xml:space="preserve"> tomar en el marco del próximo levantamiento de información de campo del estudio Métric</w:t>
      </w:r>
      <w:r w:rsidR="00803715">
        <w:t>a de la Transparencia 2013-2014, entre las que se encuentran el aprovechamiento de diversos instrumentos metodológicos para realizar un diagnóstico, ubicar áreas de oportunidad y subsanar deficiencias para impulsar un mejor cumplimiento de las obligaciones de Ley por parte de sus sujetos obligados para, en consecuencia, lograr una mejor evaluación del sistema de transparencia en todo el país.</w:t>
      </w:r>
    </w:p>
    <w:p w14:paraId="06B0AAB1" w14:textId="77777777" w:rsidR="003C23BC" w:rsidRDefault="003C23BC" w:rsidP="00D57FF3">
      <w:pPr>
        <w:spacing w:after="0" w:line="240" w:lineRule="auto"/>
        <w:jc w:val="both"/>
      </w:pPr>
    </w:p>
    <w:p w14:paraId="175C8388" w14:textId="77777777" w:rsidR="00D57FF3" w:rsidRDefault="00D57FF3" w:rsidP="00D57FF3">
      <w:pPr>
        <w:spacing w:after="0" w:line="240" w:lineRule="auto"/>
        <w:jc w:val="both"/>
      </w:pPr>
    </w:p>
    <w:p w14:paraId="4290EC6B" w14:textId="77777777" w:rsidR="003C23BC" w:rsidRDefault="003C23BC" w:rsidP="00D57FF3">
      <w:pPr>
        <w:spacing w:after="0" w:line="240" w:lineRule="auto"/>
        <w:jc w:val="both"/>
      </w:pPr>
    </w:p>
    <w:p w14:paraId="4CCA8D7A" w14:textId="77777777" w:rsidR="00CC3233" w:rsidRPr="00522DC8" w:rsidRDefault="00CC3233" w:rsidP="00D57FF3">
      <w:pPr>
        <w:spacing w:after="0" w:line="240" w:lineRule="auto"/>
        <w:jc w:val="both"/>
        <w:rPr>
          <w:b/>
        </w:rPr>
      </w:pPr>
      <w:r w:rsidRPr="00522DC8">
        <w:rPr>
          <w:b/>
        </w:rPr>
        <w:t>Objetivos particulares:</w:t>
      </w:r>
    </w:p>
    <w:p w14:paraId="11A25B8A" w14:textId="77777777" w:rsidR="00E13FD6" w:rsidRPr="003C23BC" w:rsidRDefault="00E13FD6" w:rsidP="00D57FF3">
      <w:pPr>
        <w:spacing w:after="0" w:line="240" w:lineRule="auto"/>
        <w:jc w:val="both"/>
        <w:rPr>
          <w:sz w:val="16"/>
          <w:szCs w:val="16"/>
        </w:rPr>
      </w:pPr>
    </w:p>
    <w:p w14:paraId="1C9E64EC" w14:textId="77777777" w:rsidR="00CC3233" w:rsidRDefault="00803715" w:rsidP="00D57FF3">
      <w:pPr>
        <w:spacing w:after="0" w:line="240" w:lineRule="auto"/>
        <w:jc w:val="both"/>
      </w:pPr>
      <w:r>
        <w:t>Al término del Seminario - T</w:t>
      </w:r>
      <w:r w:rsidR="00CC3233">
        <w:t>aller, los participantes deberán:</w:t>
      </w:r>
    </w:p>
    <w:p w14:paraId="03927686" w14:textId="77777777" w:rsidR="00E13FD6" w:rsidRDefault="00E13FD6" w:rsidP="00D57FF3">
      <w:pPr>
        <w:spacing w:after="0" w:line="240" w:lineRule="auto"/>
        <w:jc w:val="both"/>
      </w:pPr>
    </w:p>
    <w:p w14:paraId="24D99C6B" w14:textId="77777777" w:rsidR="001B7DB2" w:rsidRDefault="001B7DB2" w:rsidP="00D57FF3">
      <w:pPr>
        <w:pStyle w:val="Prrafodelista"/>
        <w:numPr>
          <w:ilvl w:val="0"/>
          <w:numId w:val="1"/>
        </w:numPr>
        <w:spacing w:after="0" w:line="240" w:lineRule="auto"/>
        <w:jc w:val="both"/>
      </w:pPr>
      <w:r>
        <w:t>Conocer los antecedentes de la Métrica de la Transparencia 2007 y 2010.</w:t>
      </w:r>
    </w:p>
    <w:p w14:paraId="6287AE94" w14:textId="77777777" w:rsidR="00D57FF3" w:rsidRDefault="00D57FF3" w:rsidP="00D57FF3">
      <w:pPr>
        <w:spacing w:after="0" w:line="240" w:lineRule="auto"/>
        <w:ind w:left="360"/>
        <w:jc w:val="both"/>
      </w:pPr>
    </w:p>
    <w:p w14:paraId="4B526F04" w14:textId="77777777" w:rsidR="00E13FD6" w:rsidRDefault="001B7DB2" w:rsidP="00D57FF3">
      <w:pPr>
        <w:pStyle w:val="Prrafodelista"/>
        <w:numPr>
          <w:ilvl w:val="0"/>
          <w:numId w:val="1"/>
        </w:numPr>
        <w:spacing w:after="0" w:line="240" w:lineRule="auto"/>
        <w:jc w:val="both"/>
      </w:pPr>
      <w:r>
        <w:t xml:space="preserve">Conocer los alcances y rubros a evaluar por el estudio </w:t>
      </w:r>
      <w:r w:rsidRPr="001B7DB2">
        <w:rPr>
          <w:i/>
        </w:rPr>
        <w:t>Métrica de la Transparencia 2013-2014</w:t>
      </w:r>
      <w:r>
        <w:t>.</w:t>
      </w:r>
    </w:p>
    <w:p w14:paraId="0A414686" w14:textId="77777777" w:rsidR="00D57FF3" w:rsidRDefault="00D57FF3" w:rsidP="00D57FF3">
      <w:pPr>
        <w:spacing w:after="0" w:line="240" w:lineRule="auto"/>
        <w:ind w:left="360"/>
        <w:jc w:val="both"/>
      </w:pPr>
    </w:p>
    <w:p w14:paraId="3479C47F" w14:textId="77777777" w:rsidR="00E13FD6" w:rsidRDefault="00AF0E4D" w:rsidP="00D57FF3">
      <w:pPr>
        <w:pStyle w:val="Prrafodelista"/>
        <w:numPr>
          <w:ilvl w:val="0"/>
          <w:numId w:val="1"/>
        </w:numPr>
        <w:spacing w:after="0" w:line="240" w:lineRule="auto"/>
        <w:jc w:val="both"/>
      </w:pPr>
      <w:r>
        <w:t xml:space="preserve">Identificar las </w:t>
      </w:r>
      <w:r w:rsidR="001B7DB2">
        <w:t xml:space="preserve">potenciales </w:t>
      </w:r>
      <w:r>
        <w:t xml:space="preserve">áreas de oportunidad </w:t>
      </w:r>
      <w:r w:rsidR="001B7DB2">
        <w:t xml:space="preserve">que existe en el sistema de transparencia </w:t>
      </w:r>
      <w:r w:rsidR="00802978">
        <w:t>de sus entidades federativas</w:t>
      </w:r>
      <w:r>
        <w:t>.</w:t>
      </w:r>
    </w:p>
    <w:p w14:paraId="053B4598" w14:textId="77777777" w:rsidR="00D57FF3" w:rsidRDefault="00D57FF3" w:rsidP="00D57FF3">
      <w:pPr>
        <w:spacing w:after="0" w:line="240" w:lineRule="auto"/>
        <w:ind w:left="360"/>
        <w:jc w:val="both"/>
      </w:pPr>
    </w:p>
    <w:p w14:paraId="3A307EA2" w14:textId="4AC85FA9" w:rsidR="00D57FF3" w:rsidRPr="00D57FF3" w:rsidRDefault="001B7DB2" w:rsidP="00D57FF3">
      <w:pPr>
        <w:pStyle w:val="Prrafodelista"/>
        <w:numPr>
          <w:ilvl w:val="0"/>
          <w:numId w:val="1"/>
        </w:numPr>
        <w:spacing w:after="0" w:line="240" w:lineRule="auto"/>
        <w:jc w:val="both"/>
        <w:rPr>
          <w:b/>
          <w:lang w:val="es-ES"/>
        </w:rPr>
      </w:pPr>
      <w:r>
        <w:t>Detonar acciones que sean de utilidad, al tiempo de identificar a los actores importantes para hacerlos realidad.</w:t>
      </w:r>
    </w:p>
    <w:p w14:paraId="1C4F9172" w14:textId="77777777" w:rsidR="00D57FF3" w:rsidRPr="00D57FF3" w:rsidRDefault="00D57FF3" w:rsidP="00D57FF3">
      <w:pPr>
        <w:spacing w:after="0" w:line="240" w:lineRule="auto"/>
        <w:jc w:val="both"/>
        <w:rPr>
          <w:b/>
          <w:lang w:val="es-ES"/>
        </w:rPr>
      </w:pPr>
    </w:p>
    <w:p w14:paraId="2E7D69C6" w14:textId="02EF27F2" w:rsidR="00D57FF3" w:rsidRPr="00F5019E" w:rsidRDefault="00D57FF3" w:rsidP="00D57FF3">
      <w:pPr>
        <w:pStyle w:val="Prrafodelista"/>
        <w:numPr>
          <w:ilvl w:val="0"/>
          <w:numId w:val="1"/>
        </w:numPr>
        <w:spacing w:after="0" w:line="240" w:lineRule="auto"/>
        <w:jc w:val="both"/>
        <w:rPr>
          <w:lang w:val="es-ES"/>
        </w:rPr>
      </w:pPr>
      <w:r w:rsidRPr="00F5019E">
        <w:rPr>
          <w:lang w:val="es-ES"/>
        </w:rPr>
        <w:t>Conocer y saber aplicar los instrumentos metodológicos para realizar un diagnóstico integral que permita ubicar áreas de oportunidad</w:t>
      </w:r>
      <w:r w:rsidR="00F5019E" w:rsidRPr="00F5019E">
        <w:rPr>
          <w:lang w:val="es-ES"/>
        </w:rPr>
        <w:t xml:space="preserve"> para impulsar el cumplimiento de la Ley de Transparencia y Acceso a la Información Pública.</w:t>
      </w:r>
    </w:p>
    <w:p w14:paraId="040AA4B3" w14:textId="77777777" w:rsidR="00D57FF3" w:rsidRPr="00D57FF3" w:rsidRDefault="00D57FF3" w:rsidP="00D57FF3">
      <w:pPr>
        <w:spacing w:after="0" w:line="240" w:lineRule="auto"/>
        <w:jc w:val="both"/>
        <w:rPr>
          <w:b/>
          <w:lang w:val="es-ES"/>
        </w:rPr>
      </w:pPr>
    </w:p>
    <w:p w14:paraId="4E532E13" w14:textId="77777777" w:rsidR="001B7DB2" w:rsidRPr="001B7DB2" w:rsidRDefault="001B7DB2" w:rsidP="00D57FF3">
      <w:pPr>
        <w:pStyle w:val="Prrafodelista"/>
        <w:numPr>
          <w:ilvl w:val="0"/>
          <w:numId w:val="1"/>
        </w:numPr>
        <w:spacing w:after="0" w:line="240" w:lineRule="auto"/>
        <w:jc w:val="both"/>
        <w:rPr>
          <w:lang w:val="es-ES"/>
        </w:rPr>
      </w:pPr>
      <w:r w:rsidRPr="001B7DB2">
        <w:rPr>
          <w:lang w:val="es-ES"/>
        </w:rPr>
        <w:t>Ubicar</w:t>
      </w:r>
      <w:r>
        <w:rPr>
          <w:lang w:val="es-ES"/>
        </w:rPr>
        <w:t xml:space="preserve"> el escenario que puede</w:t>
      </w:r>
      <w:r w:rsidR="00802978">
        <w:rPr>
          <w:lang w:val="es-ES"/>
        </w:rPr>
        <w:t>n tener</w:t>
      </w:r>
      <w:r>
        <w:rPr>
          <w:lang w:val="es-ES"/>
        </w:rPr>
        <w:t xml:space="preserve"> en la Métrica de la Transparencia 2013-2014, a fin de </w:t>
      </w:r>
      <w:r w:rsidR="008A4759">
        <w:rPr>
          <w:lang w:val="es-ES"/>
        </w:rPr>
        <w:t>contar con elementos de discurso proactivo ante los actores clave para definir una ruta crítica c</w:t>
      </w:r>
      <w:r w:rsidR="00802978">
        <w:rPr>
          <w:lang w:val="es-ES"/>
        </w:rPr>
        <w:t>oncertada para el desarrollo de su</w:t>
      </w:r>
      <w:r w:rsidR="008A4759">
        <w:rPr>
          <w:lang w:val="es-ES"/>
        </w:rPr>
        <w:t xml:space="preserve"> sis</w:t>
      </w:r>
      <w:r w:rsidR="00802978">
        <w:rPr>
          <w:lang w:val="es-ES"/>
        </w:rPr>
        <w:t>tema de transparencia</w:t>
      </w:r>
      <w:r w:rsidR="008A4759">
        <w:rPr>
          <w:lang w:val="es-ES"/>
        </w:rPr>
        <w:t>.</w:t>
      </w:r>
    </w:p>
    <w:p w14:paraId="681B6DAF" w14:textId="77777777" w:rsidR="00CC3233" w:rsidRPr="00EE362C" w:rsidRDefault="00CC3233" w:rsidP="00D57FF3">
      <w:pPr>
        <w:spacing w:after="0" w:line="240" w:lineRule="auto"/>
        <w:jc w:val="both"/>
      </w:pPr>
    </w:p>
    <w:p w14:paraId="13AC8847" w14:textId="77777777" w:rsidR="00D57FF3" w:rsidRDefault="00D57FF3" w:rsidP="00D57FF3">
      <w:pPr>
        <w:spacing w:after="0" w:line="240" w:lineRule="auto"/>
        <w:jc w:val="both"/>
        <w:rPr>
          <w:b/>
        </w:rPr>
      </w:pPr>
    </w:p>
    <w:p w14:paraId="532EBB77" w14:textId="77777777" w:rsidR="00D57FF3" w:rsidRDefault="00D57FF3" w:rsidP="00D57FF3">
      <w:pPr>
        <w:spacing w:after="0" w:line="240" w:lineRule="auto"/>
        <w:jc w:val="both"/>
        <w:rPr>
          <w:b/>
        </w:rPr>
      </w:pPr>
    </w:p>
    <w:p w14:paraId="50858CF5" w14:textId="77777777" w:rsidR="00D57FF3" w:rsidRDefault="00D57FF3" w:rsidP="00D57FF3">
      <w:pPr>
        <w:spacing w:after="0" w:line="240" w:lineRule="auto"/>
        <w:jc w:val="both"/>
        <w:rPr>
          <w:b/>
        </w:rPr>
      </w:pPr>
    </w:p>
    <w:p w14:paraId="04476D87" w14:textId="77777777" w:rsidR="00D57FF3" w:rsidRPr="003C23BC" w:rsidRDefault="00D57FF3" w:rsidP="00D57FF3">
      <w:pPr>
        <w:spacing w:after="0" w:line="240" w:lineRule="auto"/>
        <w:jc w:val="both"/>
        <w:rPr>
          <w:b/>
        </w:rPr>
      </w:pPr>
      <w:r w:rsidRPr="003C23BC">
        <w:rPr>
          <w:b/>
        </w:rPr>
        <w:t>Participantes:</w:t>
      </w:r>
    </w:p>
    <w:p w14:paraId="434173AA" w14:textId="77777777" w:rsidR="00D57FF3" w:rsidRPr="003C23BC" w:rsidRDefault="00D57FF3" w:rsidP="00D57FF3">
      <w:pPr>
        <w:spacing w:after="0" w:line="240" w:lineRule="auto"/>
        <w:jc w:val="both"/>
        <w:rPr>
          <w:sz w:val="16"/>
          <w:szCs w:val="16"/>
        </w:rPr>
      </w:pPr>
    </w:p>
    <w:p w14:paraId="40FF0D43" w14:textId="77777777" w:rsidR="00D57FF3" w:rsidRDefault="00D57FF3" w:rsidP="00D57FF3">
      <w:pPr>
        <w:spacing w:after="0" w:line="240" w:lineRule="auto"/>
        <w:jc w:val="both"/>
      </w:pPr>
      <w:r>
        <w:t>Este Seminario-Taller está dirigido a los Comisionad@s y Consejer@s de los organos garantes de transparencia del país, así como al personal de sus areas operativas que mantienen una relación de trabajo con los responsables de las Oficinas de Información Pública o Unidades de Enlace, en materia de evaluación del cumplimiento de obligaciones de información pública de oficio (IPO) y de acceso a la información pública – calidad de las respuestas – recursos de revisión.</w:t>
      </w:r>
    </w:p>
    <w:p w14:paraId="2BDC1AE6" w14:textId="77777777" w:rsidR="00F5019E" w:rsidRDefault="00F5019E" w:rsidP="00D57FF3">
      <w:pPr>
        <w:spacing w:after="0" w:line="240" w:lineRule="auto"/>
        <w:jc w:val="both"/>
      </w:pPr>
    </w:p>
    <w:p w14:paraId="3600B4F0" w14:textId="77777777" w:rsidR="00F5019E" w:rsidRDefault="00F5019E" w:rsidP="00D57FF3">
      <w:pPr>
        <w:spacing w:after="0" w:line="240" w:lineRule="auto"/>
        <w:jc w:val="both"/>
      </w:pPr>
    </w:p>
    <w:p w14:paraId="542A1B53" w14:textId="3D049A97" w:rsidR="00F5019E" w:rsidRPr="00F5019E" w:rsidRDefault="00F5019E" w:rsidP="00D57FF3">
      <w:pPr>
        <w:spacing w:after="0" w:line="240" w:lineRule="auto"/>
        <w:jc w:val="both"/>
        <w:rPr>
          <w:b/>
        </w:rPr>
      </w:pPr>
      <w:r w:rsidRPr="00F5019E">
        <w:rPr>
          <w:b/>
        </w:rPr>
        <w:t>Duración:</w:t>
      </w:r>
    </w:p>
    <w:p w14:paraId="11F34757" w14:textId="77777777" w:rsidR="00F5019E" w:rsidRDefault="00F5019E" w:rsidP="00D57FF3">
      <w:pPr>
        <w:spacing w:after="0" w:line="240" w:lineRule="auto"/>
        <w:jc w:val="both"/>
      </w:pPr>
    </w:p>
    <w:p w14:paraId="74AB5F5B" w14:textId="0CFA3B89" w:rsidR="00F5019E" w:rsidRDefault="00F5019E" w:rsidP="00D57FF3">
      <w:pPr>
        <w:spacing w:after="0" w:line="240" w:lineRule="auto"/>
        <w:jc w:val="both"/>
      </w:pPr>
      <w:r>
        <w:t>Para abordar adecuadamente este taller, se sugiere que el tiempo que se le asigne sea al menos de 6 horas efectivas, pudiendo extenderse hasta el doble de acuerdo al nivel de detalle y los requerimientos de cada órgano garante, según su circunstancia específica. En una alternativa menor, un taller de tres horas sería también util para tratar el tema en su partes más relevantes y obtener directrices generales.</w:t>
      </w:r>
    </w:p>
    <w:p w14:paraId="7F4BCA28" w14:textId="77777777" w:rsidR="00803715" w:rsidRDefault="00803715" w:rsidP="00D57FF3">
      <w:pPr>
        <w:spacing w:after="0" w:line="240" w:lineRule="auto"/>
      </w:pPr>
    </w:p>
    <w:p w14:paraId="76CA9B8E" w14:textId="77777777" w:rsidR="00F5019E" w:rsidRDefault="00F5019E" w:rsidP="00D57FF3">
      <w:pPr>
        <w:spacing w:after="0" w:line="240" w:lineRule="auto"/>
      </w:pPr>
    </w:p>
    <w:p w14:paraId="0A29AA8D" w14:textId="77777777" w:rsidR="00F5019E" w:rsidRDefault="00F5019E" w:rsidP="00D57FF3">
      <w:pPr>
        <w:spacing w:after="0" w:line="240" w:lineRule="auto"/>
      </w:pPr>
    </w:p>
    <w:p w14:paraId="19975CD7" w14:textId="77777777" w:rsidR="00F55082" w:rsidRDefault="00802978" w:rsidP="00D57FF3">
      <w:pPr>
        <w:spacing w:after="0" w:line="240" w:lineRule="auto"/>
        <w:jc w:val="center"/>
      </w:pPr>
      <w:r>
        <w:rPr>
          <w:b/>
          <w:sz w:val="28"/>
        </w:rPr>
        <w:t>TEMARIO</w:t>
      </w:r>
    </w:p>
    <w:p w14:paraId="5ED164C4" w14:textId="77777777" w:rsidR="00F55082" w:rsidRDefault="00F55082" w:rsidP="00D57FF3">
      <w:pPr>
        <w:spacing w:after="0" w:line="240" w:lineRule="auto"/>
        <w:jc w:val="both"/>
      </w:pPr>
    </w:p>
    <w:p w14:paraId="55BE9DE8" w14:textId="77777777" w:rsidR="00F5019E" w:rsidRDefault="00F5019E" w:rsidP="00D57FF3">
      <w:pPr>
        <w:spacing w:after="0" w:line="240" w:lineRule="auto"/>
        <w:jc w:val="both"/>
      </w:pPr>
    </w:p>
    <w:p w14:paraId="2213AA0B" w14:textId="77777777" w:rsidR="008021A4" w:rsidRPr="00802978" w:rsidRDefault="00802978" w:rsidP="00D57FF3">
      <w:pPr>
        <w:spacing w:after="0" w:line="240" w:lineRule="auto"/>
        <w:ind w:left="567" w:hanging="567"/>
        <w:jc w:val="both"/>
        <w:rPr>
          <w:b/>
        </w:rPr>
      </w:pPr>
      <w:r w:rsidRPr="00802978">
        <w:rPr>
          <w:b/>
        </w:rPr>
        <w:t xml:space="preserve">1.- </w:t>
      </w:r>
      <w:r w:rsidR="008A4759" w:rsidRPr="00802978">
        <w:rPr>
          <w:b/>
        </w:rPr>
        <w:t>Antecedentes</w:t>
      </w:r>
      <w:r w:rsidR="008021A4" w:rsidRPr="00802978">
        <w:rPr>
          <w:b/>
        </w:rPr>
        <w:t xml:space="preserve"> de la Métrica de la Transparencia</w:t>
      </w:r>
      <w:r w:rsidR="003C23BC">
        <w:rPr>
          <w:b/>
        </w:rPr>
        <w:t>.</w:t>
      </w:r>
    </w:p>
    <w:p w14:paraId="676F1E9E" w14:textId="77777777" w:rsidR="00802978" w:rsidRPr="003C23BC" w:rsidRDefault="00802978" w:rsidP="00D57FF3">
      <w:pPr>
        <w:spacing w:after="0" w:line="240" w:lineRule="auto"/>
        <w:ind w:left="567" w:hanging="567"/>
        <w:jc w:val="both"/>
        <w:rPr>
          <w:sz w:val="16"/>
          <w:szCs w:val="16"/>
        </w:rPr>
      </w:pPr>
    </w:p>
    <w:p w14:paraId="2CF67D33" w14:textId="77777777" w:rsidR="008021A4" w:rsidRDefault="00802978" w:rsidP="00D57FF3">
      <w:pPr>
        <w:spacing w:after="0" w:line="240" w:lineRule="auto"/>
        <w:ind w:left="426"/>
        <w:jc w:val="both"/>
      </w:pPr>
      <w:r>
        <w:t xml:space="preserve">A) </w:t>
      </w:r>
      <w:r w:rsidR="008021A4">
        <w:t>El problema para medir a la Transparencia en México: mediciones pioneras</w:t>
      </w:r>
      <w:r w:rsidR="003C23BC">
        <w:t>.</w:t>
      </w:r>
    </w:p>
    <w:p w14:paraId="072DD34A" w14:textId="77777777" w:rsidR="008021A4" w:rsidRDefault="00802978" w:rsidP="00D57FF3">
      <w:pPr>
        <w:spacing w:after="0" w:line="240" w:lineRule="auto"/>
        <w:ind w:left="426"/>
        <w:jc w:val="both"/>
      </w:pPr>
      <w:r>
        <w:t xml:space="preserve">B) </w:t>
      </w:r>
      <w:r w:rsidR="008021A4">
        <w:t>Metodología y resultados de la Métrica de la Transparencia 2007</w:t>
      </w:r>
      <w:r w:rsidR="003C23BC">
        <w:t>.</w:t>
      </w:r>
    </w:p>
    <w:p w14:paraId="040F757C" w14:textId="77777777" w:rsidR="00F55082" w:rsidRDefault="00802978" w:rsidP="00D57FF3">
      <w:pPr>
        <w:spacing w:after="0" w:line="240" w:lineRule="auto"/>
        <w:ind w:left="426"/>
        <w:jc w:val="both"/>
      </w:pPr>
      <w:r>
        <w:t xml:space="preserve">C) </w:t>
      </w:r>
      <w:r w:rsidR="008021A4">
        <w:t>Metodología y resultados de la Métrica de la Transparencia 2010</w:t>
      </w:r>
      <w:r w:rsidR="003C23BC">
        <w:t>.</w:t>
      </w:r>
    </w:p>
    <w:p w14:paraId="601AC0FB" w14:textId="77777777" w:rsidR="00802978" w:rsidRPr="00F5019E" w:rsidRDefault="00802978" w:rsidP="00D57FF3">
      <w:pPr>
        <w:spacing w:after="0" w:line="240" w:lineRule="auto"/>
        <w:jc w:val="both"/>
        <w:rPr>
          <w:sz w:val="16"/>
          <w:szCs w:val="16"/>
        </w:rPr>
      </w:pPr>
    </w:p>
    <w:p w14:paraId="7D6A3A17" w14:textId="77777777" w:rsidR="00802978" w:rsidRPr="00F5019E" w:rsidRDefault="00802978" w:rsidP="00D57FF3">
      <w:pPr>
        <w:spacing w:after="0" w:line="240" w:lineRule="auto"/>
        <w:jc w:val="both"/>
        <w:rPr>
          <w:sz w:val="16"/>
          <w:szCs w:val="16"/>
        </w:rPr>
      </w:pPr>
    </w:p>
    <w:p w14:paraId="6F438D8C" w14:textId="77777777" w:rsidR="00F55082" w:rsidRPr="00802978" w:rsidRDefault="00802978" w:rsidP="00D57FF3">
      <w:pPr>
        <w:spacing w:after="0" w:line="240" w:lineRule="auto"/>
        <w:jc w:val="both"/>
        <w:rPr>
          <w:b/>
        </w:rPr>
      </w:pPr>
      <w:r w:rsidRPr="00802978">
        <w:rPr>
          <w:b/>
        </w:rPr>
        <w:t xml:space="preserve">2.- </w:t>
      </w:r>
      <w:r w:rsidR="008021A4" w:rsidRPr="00802978">
        <w:rPr>
          <w:b/>
        </w:rPr>
        <w:t>Marco institucional regulatorio para la Métrica de la Transparencia 2013-2014</w:t>
      </w:r>
      <w:r w:rsidR="003C23BC">
        <w:rPr>
          <w:b/>
        </w:rPr>
        <w:t>.</w:t>
      </w:r>
    </w:p>
    <w:p w14:paraId="0D9A242E" w14:textId="77777777" w:rsidR="00802978" w:rsidRPr="003C23BC" w:rsidRDefault="00802978" w:rsidP="00D57FF3">
      <w:pPr>
        <w:spacing w:after="0" w:line="240" w:lineRule="auto"/>
        <w:ind w:left="207"/>
        <w:jc w:val="both"/>
        <w:rPr>
          <w:sz w:val="16"/>
          <w:szCs w:val="16"/>
        </w:rPr>
      </w:pPr>
    </w:p>
    <w:p w14:paraId="6D6AB6F9" w14:textId="77777777" w:rsidR="008021A4" w:rsidRDefault="00802978" w:rsidP="00D57FF3">
      <w:pPr>
        <w:spacing w:after="0" w:line="240" w:lineRule="auto"/>
        <w:ind w:left="426"/>
        <w:jc w:val="both"/>
      </w:pPr>
      <w:r>
        <w:t xml:space="preserve">A) </w:t>
      </w:r>
      <w:r w:rsidR="008021A4">
        <w:t>Términos de referencia</w:t>
      </w:r>
      <w:r w:rsidR="003C23BC">
        <w:t>.</w:t>
      </w:r>
    </w:p>
    <w:p w14:paraId="31FA6C7D" w14:textId="77777777" w:rsidR="00F55082" w:rsidRDefault="00802978" w:rsidP="00D57FF3">
      <w:pPr>
        <w:spacing w:after="0" w:line="240" w:lineRule="auto"/>
        <w:ind w:left="426"/>
        <w:jc w:val="both"/>
      </w:pPr>
      <w:r>
        <w:t xml:space="preserve">B) </w:t>
      </w:r>
      <w:r w:rsidR="008021A4">
        <w:t>Dimensiones a evaluar</w:t>
      </w:r>
      <w:r w:rsidR="003C23BC">
        <w:t>.</w:t>
      </w:r>
    </w:p>
    <w:p w14:paraId="6F20BEF7" w14:textId="77777777" w:rsidR="00F55082" w:rsidRPr="00F5019E" w:rsidRDefault="00F55082" w:rsidP="00D57FF3">
      <w:pPr>
        <w:spacing w:after="0" w:line="240" w:lineRule="auto"/>
        <w:ind w:left="567"/>
        <w:jc w:val="both"/>
        <w:rPr>
          <w:sz w:val="16"/>
          <w:szCs w:val="16"/>
        </w:rPr>
      </w:pPr>
    </w:p>
    <w:p w14:paraId="564AF57A" w14:textId="77777777" w:rsidR="00802978" w:rsidRPr="00F5019E" w:rsidRDefault="00802978" w:rsidP="00D57FF3">
      <w:pPr>
        <w:spacing w:after="0" w:line="240" w:lineRule="auto"/>
        <w:ind w:left="567"/>
        <w:jc w:val="both"/>
        <w:rPr>
          <w:sz w:val="16"/>
          <w:szCs w:val="16"/>
        </w:rPr>
      </w:pPr>
    </w:p>
    <w:p w14:paraId="14B82AF4" w14:textId="77777777" w:rsidR="002159C0" w:rsidRPr="00802978" w:rsidRDefault="00802978" w:rsidP="00D57FF3">
      <w:pPr>
        <w:tabs>
          <w:tab w:val="num" w:pos="720"/>
        </w:tabs>
        <w:spacing w:after="0" w:line="240" w:lineRule="auto"/>
        <w:ind w:left="567" w:hanging="567"/>
        <w:jc w:val="both"/>
        <w:rPr>
          <w:b/>
        </w:rPr>
      </w:pPr>
      <w:r w:rsidRPr="00802978">
        <w:rPr>
          <w:b/>
        </w:rPr>
        <w:t xml:space="preserve">3.- </w:t>
      </w:r>
      <w:r w:rsidR="009100E7" w:rsidRPr="00802978">
        <w:rPr>
          <w:b/>
        </w:rPr>
        <w:t>Mapeo de las áreas de oportunidad de</w:t>
      </w:r>
      <w:r w:rsidRPr="00802978">
        <w:rPr>
          <w:b/>
        </w:rPr>
        <w:t xml:space="preserve"> su</w:t>
      </w:r>
      <w:r w:rsidR="009100E7" w:rsidRPr="00802978">
        <w:rPr>
          <w:b/>
        </w:rPr>
        <w:t xml:space="preserve"> sis</w:t>
      </w:r>
      <w:r w:rsidRPr="00802978">
        <w:rPr>
          <w:b/>
        </w:rPr>
        <w:t>tema de transparencia</w:t>
      </w:r>
      <w:r w:rsidR="003C23BC">
        <w:rPr>
          <w:b/>
        </w:rPr>
        <w:t>.</w:t>
      </w:r>
    </w:p>
    <w:p w14:paraId="7854A01D" w14:textId="77777777" w:rsidR="00894B7B" w:rsidRDefault="00894B7B" w:rsidP="00D57FF3">
      <w:pPr>
        <w:tabs>
          <w:tab w:val="num" w:pos="720"/>
        </w:tabs>
        <w:spacing w:after="0" w:line="240" w:lineRule="auto"/>
        <w:ind w:left="567"/>
        <w:jc w:val="both"/>
      </w:pPr>
    </w:p>
    <w:p w14:paraId="618F71B1" w14:textId="77777777" w:rsidR="00802978" w:rsidRDefault="00802978" w:rsidP="00D57FF3">
      <w:pPr>
        <w:tabs>
          <w:tab w:val="num" w:pos="720"/>
        </w:tabs>
        <w:spacing w:after="0" w:line="240" w:lineRule="auto"/>
        <w:ind w:left="567"/>
        <w:jc w:val="both"/>
      </w:pPr>
    </w:p>
    <w:p w14:paraId="57098890" w14:textId="77777777" w:rsidR="00F55082" w:rsidRPr="00802978" w:rsidRDefault="00802978" w:rsidP="00D57FF3">
      <w:pPr>
        <w:spacing w:after="0" w:line="240" w:lineRule="auto"/>
        <w:rPr>
          <w:b/>
        </w:rPr>
      </w:pPr>
      <w:r w:rsidRPr="00802978">
        <w:rPr>
          <w:b/>
        </w:rPr>
        <w:t xml:space="preserve">4.- </w:t>
      </w:r>
      <w:r w:rsidR="009100E7" w:rsidRPr="00802978">
        <w:rPr>
          <w:b/>
        </w:rPr>
        <w:t xml:space="preserve">Medición </w:t>
      </w:r>
      <w:r w:rsidR="003C23BC">
        <w:rPr>
          <w:b/>
        </w:rPr>
        <w:t xml:space="preserve">de capacidades institucionales </w:t>
      </w:r>
      <w:r w:rsidR="009100E7" w:rsidRPr="00802978">
        <w:rPr>
          <w:b/>
        </w:rPr>
        <w:t>de las Oficinas de Información Pública</w:t>
      </w:r>
      <w:r w:rsidR="003C23BC">
        <w:rPr>
          <w:b/>
        </w:rPr>
        <w:t>.</w:t>
      </w:r>
    </w:p>
    <w:p w14:paraId="23C8E06B" w14:textId="77777777" w:rsidR="009100E7" w:rsidRDefault="00802978" w:rsidP="00D57FF3">
      <w:pPr>
        <w:spacing w:after="0" w:line="240" w:lineRule="auto"/>
        <w:ind w:left="426"/>
        <w:jc w:val="both"/>
      </w:pPr>
      <w:r>
        <w:t xml:space="preserve">A) </w:t>
      </w:r>
      <w:r w:rsidR="009100E7">
        <w:t>Calidad de atención a las Solicitudes de Información Pública</w:t>
      </w:r>
      <w:r w:rsidR="003C23BC">
        <w:t>.</w:t>
      </w:r>
    </w:p>
    <w:p w14:paraId="6C56361F" w14:textId="77777777" w:rsidR="009100E7" w:rsidRDefault="00802978" w:rsidP="00D57FF3">
      <w:pPr>
        <w:spacing w:after="0" w:line="240" w:lineRule="auto"/>
        <w:ind w:left="426"/>
        <w:jc w:val="both"/>
      </w:pPr>
      <w:r>
        <w:t xml:space="preserve">B) </w:t>
      </w:r>
      <w:r w:rsidR="009100E7">
        <w:t>Calidad de atención en las OIP´s</w:t>
      </w:r>
      <w:r w:rsidR="003C23BC">
        <w:t>.</w:t>
      </w:r>
    </w:p>
    <w:p w14:paraId="42672784" w14:textId="77777777" w:rsidR="009100E7" w:rsidRDefault="00802978" w:rsidP="00D57FF3">
      <w:pPr>
        <w:spacing w:after="0" w:line="240" w:lineRule="auto"/>
        <w:ind w:left="426"/>
        <w:jc w:val="both"/>
      </w:pPr>
      <w:r>
        <w:t xml:space="preserve">C) </w:t>
      </w:r>
      <w:r w:rsidR="009100E7">
        <w:t>Identificación de los actores clave para mejorar el curso de acción</w:t>
      </w:r>
      <w:r w:rsidR="003C23BC">
        <w:t>.</w:t>
      </w:r>
    </w:p>
    <w:p w14:paraId="0A63CE4B" w14:textId="77777777" w:rsidR="00F55082" w:rsidRDefault="00F55082" w:rsidP="00D57FF3">
      <w:pPr>
        <w:spacing w:after="0" w:line="240" w:lineRule="auto"/>
        <w:jc w:val="both"/>
      </w:pPr>
    </w:p>
    <w:p w14:paraId="31EDD6D5" w14:textId="77777777" w:rsidR="00F55082" w:rsidRDefault="00F55082" w:rsidP="00D57FF3">
      <w:pPr>
        <w:spacing w:after="0" w:line="240" w:lineRule="auto"/>
        <w:jc w:val="both"/>
      </w:pPr>
    </w:p>
    <w:p w14:paraId="0C577D14" w14:textId="77777777" w:rsidR="00F55082" w:rsidRPr="003C23BC" w:rsidRDefault="003C23BC" w:rsidP="00D57FF3">
      <w:pPr>
        <w:spacing w:after="0" w:line="240" w:lineRule="auto"/>
        <w:ind w:left="1410" w:hanging="1410"/>
        <w:jc w:val="both"/>
        <w:rPr>
          <w:b/>
        </w:rPr>
      </w:pPr>
      <w:r w:rsidRPr="003C23BC">
        <w:rPr>
          <w:b/>
        </w:rPr>
        <w:t>5.-</w:t>
      </w:r>
      <w:r w:rsidR="00802978" w:rsidRPr="003C23BC">
        <w:rPr>
          <w:b/>
        </w:rPr>
        <w:t xml:space="preserve"> </w:t>
      </w:r>
      <w:r w:rsidR="009100E7" w:rsidRPr="003C23BC">
        <w:rPr>
          <w:b/>
        </w:rPr>
        <w:t>Los portales de Internet</w:t>
      </w:r>
      <w:r>
        <w:rPr>
          <w:b/>
        </w:rPr>
        <w:t xml:space="preserve"> de los sujetos obligados.</w:t>
      </w:r>
    </w:p>
    <w:p w14:paraId="136617A0" w14:textId="77777777" w:rsidR="003C23BC" w:rsidRPr="003C23BC" w:rsidRDefault="003C23BC" w:rsidP="00D57FF3">
      <w:pPr>
        <w:spacing w:after="0" w:line="240" w:lineRule="auto"/>
        <w:ind w:left="1410" w:hanging="1410"/>
        <w:jc w:val="both"/>
        <w:rPr>
          <w:sz w:val="16"/>
          <w:szCs w:val="16"/>
        </w:rPr>
      </w:pPr>
    </w:p>
    <w:p w14:paraId="4EA500CF" w14:textId="77777777" w:rsidR="009100E7" w:rsidRDefault="003C23BC" w:rsidP="00D57FF3">
      <w:pPr>
        <w:spacing w:after="0" w:line="240" w:lineRule="auto"/>
        <w:ind w:left="426"/>
        <w:jc w:val="both"/>
      </w:pPr>
      <w:r>
        <w:t xml:space="preserve">A) </w:t>
      </w:r>
      <w:r w:rsidR="009100E7">
        <w:t>Identificación de áreas de oportunidad (correspondencia Ley vs. Información publicada)</w:t>
      </w:r>
      <w:r>
        <w:t>.</w:t>
      </w:r>
    </w:p>
    <w:p w14:paraId="2B1CDB12" w14:textId="77777777" w:rsidR="009100E7" w:rsidRDefault="003C23BC" w:rsidP="00D57FF3">
      <w:pPr>
        <w:spacing w:after="0" w:line="240" w:lineRule="auto"/>
        <w:ind w:left="426"/>
        <w:jc w:val="both"/>
      </w:pPr>
      <w:r>
        <w:t>B) Medidas a tomar con los sujetos obligados.</w:t>
      </w:r>
    </w:p>
    <w:p w14:paraId="0D0CFB2A" w14:textId="77777777" w:rsidR="009100E7" w:rsidRDefault="003C23BC" w:rsidP="00D57FF3">
      <w:pPr>
        <w:spacing w:after="0" w:line="240" w:lineRule="auto"/>
        <w:ind w:left="426"/>
        <w:jc w:val="both"/>
      </w:pPr>
      <w:r>
        <w:t xml:space="preserve">C) </w:t>
      </w:r>
      <w:r w:rsidR="009100E7">
        <w:t>Identificación de los actores clave para mejorar el curso de acción</w:t>
      </w:r>
      <w:r>
        <w:t>.</w:t>
      </w:r>
    </w:p>
    <w:p w14:paraId="460C2185" w14:textId="77777777" w:rsidR="00F55082" w:rsidRDefault="00F55082" w:rsidP="00D57FF3">
      <w:pPr>
        <w:spacing w:after="0" w:line="240" w:lineRule="auto"/>
        <w:jc w:val="both"/>
      </w:pPr>
    </w:p>
    <w:p w14:paraId="5A6ECC0C" w14:textId="77777777" w:rsidR="00F55082" w:rsidRDefault="00F55082" w:rsidP="00D57FF3">
      <w:pPr>
        <w:spacing w:after="0" w:line="240" w:lineRule="auto"/>
        <w:jc w:val="both"/>
      </w:pPr>
    </w:p>
    <w:p w14:paraId="6796D54E" w14:textId="77777777" w:rsidR="00F55082" w:rsidRPr="003C23BC" w:rsidRDefault="003C23BC" w:rsidP="00D57FF3">
      <w:pPr>
        <w:spacing w:after="0" w:line="240" w:lineRule="auto"/>
        <w:jc w:val="both"/>
        <w:rPr>
          <w:b/>
        </w:rPr>
      </w:pPr>
      <w:r w:rsidRPr="003C23BC">
        <w:rPr>
          <w:b/>
        </w:rPr>
        <w:t xml:space="preserve">6.- </w:t>
      </w:r>
      <w:r w:rsidR="009100E7" w:rsidRPr="003C23BC">
        <w:rPr>
          <w:b/>
        </w:rPr>
        <w:t xml:space="preserve">Procedimiento para </w:t>
      </w:r>
      <w:r w:rsidR="002C26FA" w:rsidRPr="003C23BC">
        <w:rPr>
          <w:b/>
        </w:rPr>
        <w:t>evaluar y dar seguimiento a la calidad de la IPO</w:t>
      </w:r>
      <w:r>
        <w:rPr>
          <w:b/>
        </w:rPr>
        <w:t>.</w:t>
      </w:r>
    </w:p>
    <w:p w14:paraId="2081EF39" w14:textId="77777777" w:rsidR="003C23BC" w:rsidRPr="003C23BC" w:rsidRDefault="003C23BC" w:rsidP="00D57FF3">
      <w:pPr>
        <w:spacing w:after="0" w:line="240" w:lineRule="auto"/>
        <w:jc w:val="both"/>
        <w:rPr>
          <w:sz w:val="16"/>
          <w:szCs w:val="16"/>
        </w:rPr>
      </w:pPr>
    </w:p>
    <w:p w14:paraId="33C32809" w14:textId="77777777" w:rsidR="002C26FA" w:rsidRDefault="003C23BC" w:rsidP="00D57FF3">
      <w:pPr>
        <w:spacing w:after="0" w:line="240" w:lineRule="auto"/>
        <w:ind w:left="426"/>
        <w:jc w:val="both"/>
      </w:pPr>
      <w:r>
        <w:t xml:space="preserve">A) </w:t>
      </w:r>
      <w:r w:rsidR="002C26FA">
        <w:t>Instrumentos técnicos</w:t>
      </w:r>
      <w:r>
        <w:t>.</w:t>
      </w:r>
    </w:p>
    <w:p w14:paraId="60E3C24D" w14:textId="77777777" w:rsidR="002C26FA" w:rsidRDefault="003C23BC" w:rsidP="00D57FF3">
      <w:pPr>
        <w:spacing w:after="0" w:line="240" w:lineRule="auto"/>
        <w:ind w:left="426"/>
        <w:jc w:val="both"/>
      </w:pPr>
      <w:r>
        <w:t xml:space="preserve">B) </w:t>
      </w:r>
      <w:r w:rsidR="002C26FA">
        <w:t>Procedimiento general</w:t>
      </w:r>
      <w:r>
        <w:t>.</w:t>
      </w:r>
    </w:p>
    <w:p w14:paraId="1CA1E66E" w14:textId="77777777" w:rsidR="002C26FA" w:rsidRDefault="003C23BC" w:rsidP="00D57FF3">
      <w:pPr>
        <w:spacing w:after="0" w:line="240" w:lineRule="auto"/>
        <w:ind w:left="426"/>
        <w:jc w:val="both"/>
      </w:pPr>
      <w:r>
        <w:t xml:space="preserve">C) </w:t>
      </w:r>
      <w:r w:rsidR="002C26FA">
        <w:t>Ejercicio de evaluación con recomendaciones</w:t>
      </w:r>
      <w:r>
        <w:t>.</w:t>
      </w:r>
    </w:p>
    <w:p w14:paraId="0A11D75E" w14:textId="77777777" w:rsidR="00F55082" w:rsidRDefault="00F55082" w:rsidP="00D57FF3">
      <w:pPr>
        <w:spacing w:after="0" w:line="240" w:lineRule="auto"/>
        <w:jc w:val="both"/>
      </w:pPr>
    </w:p>
    <w:p w14:paraId="697FD69C" w14:textId="77777777" w:rsidR="00F55082" w:rsidRDefault="00F55082" w:rsidP="00D57FF3">
      <w:pPr>
        <w:spacing w:after="0" w:line="240" w:lineRule="auto"/>
        <w:jc w:val="both"/>
      </w:pPr>
    </w:p>
    <w:p w14:paraId="685917FB" w14:textId="77777777" w:rsidR="002C26FA" w:rsidRPr="003C23BC" w:rsidRDefault="003C23BC" w:rsidP="00D57FF3">
      <w:pPr>
        <w:spacing w:after="0" w:line="240" w:lineRule="auto"/>
        <w:jc w:val="both"/>
        <w:rPr>
          <w:b/>
        </w:rPr>
      </w:pPr>
      <w:r w:rsidRPr="003C23BC">
        <w:rPr>
          <w:b/>
        </w:rPr>
        <w:t xml:space="preserve">7.- </w:t>
      </w:r>
      <w:r w:rsidR="002C26FA" w:rsidRPr="003C23BC">
        <w:rPr>
          <w:b/>
        </w:rPr>
        <w:t>Construcción de discursos ante los potenciales escenarios para los actores clave</w:t>
      </w:r>
    </w:p>
    <w:p w14:paraId="3CF9D4F2" w14:textId="77777777" w:rsidR="003C23BC" w:rsidRPr="003C23BC" w:rsidRDefault="003C23BC" w:rsidP="00D57FF3">
      <w:pPr>
        <w:spacing w:after="0" w:line="240" w:lineRule="auto"/>
        <w:jc w:val="both"/>
        <w:rPr>
          <w:sz w:val="16"/>
          <w:szCs w:val="16"/>
        </w:rPr>
      </w:pPr>
    </w:p>
    <w:p w14:paraId="576B1CCF" w14:textId="77777777" w:rsidR="002C26FA" w:rsidRDefault="003C23BC" w:rsidP="00D57FF3">
      <w:pPr>
        <w:spacing w:after="0" w:line="240" w:lineRule="auto"/>
        <w:ind w:left="426"/>
        <w:jc w:val="both"/>
      </w:pPr>
      <w:r>
        <w:t xml:space="preserve">A) </w:t>
      </w:r>
      <w:r w:rsidR="002C26FA">
        <w:t>Argumentación ante el ejecutivo</w:t>
      </w:r>
      <w:r>
        <w:t>.</w:t>
      </w:r>
    </w:p>
    <w:p w14:paraId="433D0352" w14:textId="77777777" w:rsidR="002C26FA" w:rsidRDefault="003C23BC" w:rsidP="00D57FF3">
      <w:pPr>
        <w:spacing w:after="0" w:line="240" w:lineRule="auto"/>
        <w:ind w:left="426"/>
        <w:jc w:val="both"/>
      </w:pPr>
      <w:r>
        <w:t xml:space="preserve">B) </w:t>
      </w:r>
      <w:r w:rsidR="002C26FA">
        <w:t>Argumentación ante la comunidad académica</w:t>
      </w:r>
      <w:r>
        <w:t>.</w:t>
      </w:r>
    </w:p>
    <w:p w14:paraId="16B53DA1" w14:textId="77777777" w:rsidR="002C26FA" w:rsidRDefault="003C23BC" w:rsidP="00D57FF3">
      <w:pPr>
        <w:spacing w:after="0" w:line="240" w:lineRule="auto"/>
        <w:ind w:left="426"/>
        <w:jc w:val="both"/>
      </w:pPr>
      <w:r>
        <w:t xml:space="preserve">C) </w:t>
      </w:r>
      <w:r w:rsidR="002C26FA">
        <w:t>Argumentación ante los partidos políticos</w:t>
      </w:r>
      <w:r>
        <w:t>.</w:t>
      </w:r>
    </w:p>
    <w:p w14:paraId="4209FEFD" w14:textId="77777777" w:rsidR="002C26FA" w:rsidRDefault="003C23BC" w:rsidP="00D57FF3">
      <w:pPr>
        <w:spacing w:after="0" w:line="240" w:lineRule="auto"/>
        <w:ind w:left="426"/>
        <w:jc w:val="both"/>
      </w:pPr>
      <w:r>
        <w:t xml:space="preserve">D) </w:t>
      </w:r>
      <w:r w:rsidR="002C26FA">
        <w:t>Argumentación ante el público en general</w:t>
      </w:r>
      <w:r>
        <w:t>.</w:t>
      </w:r>
    </w:p>
    <w:p w14:paraId="1487FDEA" w14:textId="77777777" w:rsidR="002C26FA" w:rsidRDefault="002C26FA" w:rsidP="00D57FF3">
      <w:pPr>
        <w:spacing w:after="0" w:line="240" w:lineRule="auto"/>
        <w:jc w:val="both"/>
      </w:pPr>
    </w:p>
    <w:sectPr w:rsidR="002C26FA" w:rsidSect="004E2EB2">
      <w:head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8B089" w14:textId="77777777" w:rsidR="00D57FF3" w:rsidRDefault="00D57FF3" w:rsidP="00D95F99">
      <w:pPr>
        <w:spacing w:after="0" w:line="240" w:lineRule="auto"/>
      </w:pPr>
      <w:r>
        <w:separator/>
      </w:r>
    </w:p>
  </w:endnote>
  <w:endnote w:type="continuationSeparator" w:id="0">
    <w:p w14:paraId="506E8061" w14:textId="77777777" w:rsidR="00D57FF3" w:rsidRDefault="00D57FF3" w:rsidP="00D9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4B0DB" w14:textId="77777777" w:rsidR="00D57FF3" w:rsidRDefault="00D57FF3" w:rsidP="00D95F99">
      <w:pPr>
        <w:spacing w:after="0" w:line="240" w:lineRule="auto"/>
      </w:pPr>
      <w:r>
        <w:separator/>
      </w:r>
    </w:p>
  </w:footnote>
  <w:footnote w:type="continuationSeparator" w:id="0">
    <w:p w14:paraId="0499EC51" w14:textId="77777777" w:rsidR="00D57FF3" w:rsidRDefault="00D57FF3" w:rsidP="00D95F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3426"/>
      <w:gridCol w:w="3426"/>
    </w:tblGrid>
    <w:tr w:rsidR="00D57FF3" w14:paraId="6859E0E6" w14:textId="77777777" w:rsidTr="00802978">
      <w:tc>
        <w:tcPr>
          <w:tcW w:w="1986" w:type="dxa"/>
        </w:tcPr>
        <w:p w14:paraId="42334E34" w14:textId="77777777" w:rsidR="00D57FF3" w:rsidRDefault="00D57FF3">
          <w:pPr>
            <w:pStyle w:val="Encabezado"/>
          </w:pPr>
          <w:r w:rsidRPr="00D95F99">
            <w:rPr>
              <w:noProof/>
              <w:lang w:val="es-ES" w:eastAsia="es-ES"/>
            </w:rPr>
            <w:drawing>
              <wp:inline distT="0" distB="0" distL="0" distR="0" wp14:anchorId="72DC0832" wp14:editId="7E335A00">
                <wp:extent cx="969152" cy="1134008"/>
                <wp:effectExtent l="0" t="0" r="2540" b="9525"/>
                <wp:docPr id="3" name="Imagen 1" descr="LOGOTIPO_InfoDF_new.png"/>
                <wp:cNvGraphicFramePr/>
                <a:graphic xmlns:a="http://schemas.openxmlformats.org/drawingml/2006/main">
                  <a:graphicData uri="http://schemas.openxmlformats.org/drawingml/2006/picture">
                    <pic:pic xmlns:pic="http://schemas.openxmlformats.org/drawingml/2006/picture">
                      <pic:nvPicPr>
                        <pic:cNvPr id="13" name="12 Imagen" descr="LOGOTIPO_InfoDF_new.png"/>
                        <pic:cNvPicPr>
                          <a:picLocks noChangeAspect="1"/>
                        </pic:cNvPicPr>
                      </pic:nvPicPr>
                      <pic:blipFill>
                        <a:blip r:embed="rId1" cstate="print"/>
                        <a:stretch>
                          <a:fillRect/>
                        </a:stretch>
                      </pic:blipFill>
                      <pic:spPr>
                        <a:xfrm>
                          <a:off x="0" y="0"/>
                          <a:ext cx="972101" cy="1137459"/>
                        </a:xfrm>
                        <a:prstGeom prst="rect">
                          <a:avLst/>
                        </a:prstGeom>
                      </pic:spPr>
                    </pic:pic>
                  </a:graphicData>
                </a:graphic>
              </wp:inline>
            </w:drawing>
          </w:r>
        </w:p>
      </w:tc>
      <w:tc>
        <w:tcPr>
          <w:tcW w:w="3426" w:type="dxa"/>
        </w:tcPr>
        <w:p w14:paraId="454BEBD2" w14:textId="77777777" w:rsidR="00D57FF3" w:rsidRDefault="00D57FF3" w:rsidP="00D95F99">
          <w:pPr>
            <w:pStyle w:val="Encabezado"/>
            <w:jc w:val="right"/>
          </w:pPr>
        </w:p>
        <w:p w14:paraId="0CA2A358" w14:textId="77777777" w:rsidR="00D57FF3" w:rsidRDefault="00D57FF3" w:rsidP="008A4759">
          <w:pPr>
            <w:pStyle w:val="Encabezado"/>
            <w:jc w:val="right"/>
          </w:pPr>
        </w:p>
      </w:tc>
      <w:tc>
        <w:tcPr>
          <w:tcW w:w="3426" w:type="dxa"/>
        </w:tcPr>
        <w:p w14:paraId="56612874" w14:textId="77777777" w:rsidR="00D57FF3" w:rsidRDefault="00D57FF3" w:rsidP="00D95F99">
          <w:pPr>
            <w:pStyle w:val="Encabezado"/>
            <w:jc w:val="right"/>
          </w:pPr>
          <w:r w:rsidRPr="00802978">
            <w:drawing>
              <wp:inline distT="0" distB="0" distL="0" distR="0" wp14:anchorId="1310AB50" wp14:editId="0188D28A">
                <wp:extent cx="936625" cy="885190"/>
                <wp:effectExtent l="0" t="0" r="0" b="0"/>
                <wp:docPr id="8" name="Imagen 8" descr="Descripción: LOGO_COMAIP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_COMAIP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625" cy="885190"/>
                        </a:xfrm>
                        <a:prstGeom prst="rect">
                          <a:avLst/>
                        </a:prstGeom>
                        <a:noFill/>
                        <a:ln>
                          <a:noFill/>
                        </a:ln>
                      </pic:spPr>
                    </pic:pic>
                  </a:graphicData>
                </a:graphic>
              </wp:inline>
            </w:drawing>
          </w:r>
        </w:p>
      </w:tc>
    </w:tr>
  </w:tbl>
  <w:p w14:paraId="5B15D3EF" w14:textId="77777777" w:rsidR="00D57FF3" w:rsidRPr="00D95F99" w:rsidRDefault="00D57FF3" w:rsidP="00D95F99">
    <w:pPr>
      <w:pStyle w:val="Encabezado"/>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064C8"/>
    <w:multiLevelType w:val="hybridMultilevel"/>
    <w:tmpl w:val="14566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A5F57A3"/>
    <w:multiLevelType w:val="hybridMultilevel"/>
    <w:tmpl w:val="7F72B1D0"/>
    <w:lvl w:ilvl="0" w:tplc="683C5288">
      <w:start w:val="4"/>
      <w:numFmt w:val="bullet"/>
      <w:lvlText w:val="-"/>
      <w:lvlJc w:val="left"/>
      <w:pPr>
        <w:ind w:left="360" w:hanging="360"/>
      </w:pPr>
      <w:rPr>
        <w:rFonts w:ascii="Calibri" w:eastAsiaTheme="minorHAnsi" w:hAnsi="Calibri"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4AFD1E98"/>
    <w:multiLevelType w:val="hybridMultilevel"/>
    <w:tmpl w:val="E93EAB44"/>
    <w:lvl w:ilvl="0" w:tplc="D4DEEEA6">
      <w:start w:val="1"/>
      <w:numFmt w:val="bullet"/>
      <w:lvlText w:val="•"/>
      <w:lvlJc w:val="left"/>
      <w:pPr>
        <w:tabs>
          <w:tab w:val="num" w:pos="720"/>
        </w:tabs>
        <w:ind w:left="720" w:hanging="360"/>
      </w:pPr>
      <w:rPr>
        <w:rFonts w:ascii="Arial" w:hAnsi="Arial" w:hint="default"/>
      </w:rPr>
    </w:lvl>
    <w:lvl w:ilvl="1" w:tplc="DAE2961A" w:tentative="1">
      <w:start w:val="1"/>
      <w:numFmt w:val="bullet"/>
      <w:lvlText w:val="•"/>
      <w:lvlJc w:val="left"/>
      <w:pPr>
        <w:tabs>
          <w:tab w:val="num" w:pos="1440"/>
        </w:tabs>
        <w:ind w:left="1440" w:hanging="360"/>
      </w:pPr>
      <w:rPr>
        <w:rFonts w:ascii="Arial" w:hAnsi="Arial" w:hint="default"/>
      </w:rPr>
    </w:lvl>
    <w:lvl w:ilvl="2" w:tplc="E1DEA972" w:tentative="1">
      <w:start w:val="1"/>
      <w:numFmt w:val="bullet"/>
      <w:lvlText w:val="•"/>
      <w:lvlJc w:val="left"/>
      <w:pPr>
        <w:tabs>
          <w:tab w:val="num" w:pos="2160"/>
        </w:tabs>
        <w:ind w:left="2160" w:hanging="360"/>
      </w:pPr>
      <w:rPr>
        <w:rFonts w:ascii="Arial" w:hAnsi="Arial" w:hint="default"/>
      </w:rPr>
    </w:lvl>
    <w:lvl w:ilvl="3" w:tplc="11AE9466" w:tentative="1">
      <w:start w:val="1"/>
      <w:numFmt w:val="bullet"/>
      <w:lvlText w:val="•"/>
      <w:lvlJc w:val="left"/>
      <w:pPr>
        <w:tabs>
          <w:tab w:val="num" w:pos="2880"/>
        </w:tabs>
        <w:ind w:left="2880" w:hanging="360"/>
      </w:pPr>
      <w:rPr>
        <w:rFonts w:ascii="Arial" w:hAnsi="Arial" w:hint="default"/>
      </w:rPr>
    </w:lvl>
    <w:lvl w:ilvl="4" w:tplc="A1B050AA" w:tentative="1">
      <w:start w:val="1"/>
      <w:numFmt w:val="bullet"/>
      <w:lvlText w:val="•"/>
      <w:lvlJc w:val="left"/>
      <w:pPr>
        <w:tabs>
          <w:tab w:val="num" w:pos="3600"/>
        </w:tabs>
        <w:ind w:left="3600" w:hanging="360"/>
      </w:pPr>
      <w:rPr>
        <w:rFonts w:ascii="Arial" w:hAnsi="Arial" w:hint="default"/>
      </w:rPr>
    </w:lvl>
    <w:lvl w:ilvl="5" w:tplc="07743498" w:tentative="1">
      <w:start w:val="1"/>
      <w:numFmt w:val="bullet"/>
      <w:lvlText w:val="•"/>
      <w:lvlJc w:val="left"/>
      <w:pPr>
        <w:tabs>
          <w:tab w:val="num" w:pos="4320"/>
        </w:tabs>
        <w:ind w:left="4320" w:hanging="360"/>
      </w:pPr>
      <w:rPr>
        <w:rFonts w:ascii="Arial" w:hAnsi="Arial" w:hint="default"/>
      </w:rPr>
    </w:lvl>
    <w:lvl w:ilvl="6" w:tplc="3D7C2C12" w:tentative="1">
      <w:start w:val="1"/>
      <w:numFmt w:val="bullet"/>
      <w:lvlText w:val="•"/>
      <w:lvlJc w:val="left"/>
      <w:pPr>
        <w:tabs>
          <w:tab w:val="num" w:pos="5040"/>
        </w:tabs>
        <w:ind w:left="5040" w:hanging="360"/>
      </w:pPr>
      <w:rPr>
        <w:rFonts w:ascii="Arial" w:hAnsi="Arial" w:hint="default"/>
      </w:rPr>
    </w:lvl>
    <w:lvl w:ilvl="7" w:tplc="0DEC6A58" w:tentative="1">
      <w:start w:val="1"/>
      <w:numFmt w:val="bullet"/>
      <w:lvlText w:val="•"/>
      <w:lvlJc w:val="left"/>
      <w:pPr>
        <w:tabs>
          <w:tab w:val="num" w:pos="5760"/>
        </w:tabs>
        <w:ind w:left="5760" w:hanging="360"/>
      </w:pPr>
      <w:rPr>
        <w:rFonts w:ascii="Arial" w:hAnsi="Arial" w:hint="default"/>
      </w:rPr>
    </w:lvl>
    <w:lvl w:ilvl="8" w:tplc="4B042F5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33"/>
    <w:rsid w:val="00041A29"/>
    <w:rsid w:val="00084E97"/>
    <w:rsid w:val="00097252"/>
    <w:rsid w:val="00107A20"/>
    <w:rsid w:val="00132412"/>
    <w:rsid w:val="00146155"/>
    <w:rsid w:val="001B7DB2"/>
    <w:rsid w:val="002159C0"/>
    <w:rsid w:val="002523D0"/>
    <w:rsid w:val="002908D7"/>
    <w:rsid w:val="00297FC9"/>
    <w:rsid w:val="002C26FA"/>
    <w:rsid w:val="00327E21"/>
    <w:rsid w:val="003C23BC"/>
    <w:rsid w:val="003E19ED"/>
    <w:rsid w:val="0042741A"/>
    <w:rsid w:val="00496195"/>
    <w:rsid w:val="004E2EB2"/>
    <w:rsid w:val="004F76E5"/>
    <w:rsid w:val="00522DC8"/>
    <w:rsid w:val="00531272"/>
    <w:rsid w:val="005B797D"/>
    <w:rsid w:val="005E6465"/>
    <w:rsid w:val="0062131A"/>
    <w:rsid w:val="006B0AE1"/>
    <w:rsid w:val="006B12E3"/>
    <w:rsid w:val="007027C5"/>
    <w:rsid w:val="00710A1B"/>
    <w:rsid w:val="007203EC"/>
    <w:rsid w:val="00743188"/>
    <w:rsid w:val="008021A4"/>
    <w:rsid w:val="00802978"/>
    <w:rsid w:val="00803715"/>
    <w:rsid w:val="0081345F"/>
    <w:rsid w:val="00827961"/>
    <w:rsid w:val="008518C7"/>
    <w:rsid w:val="00884DA9"/>
    <w:rsid w:val="00894B7B"/>
    <w:rsid w:val="008A40D3"/>
    <w:rsid w:val="008A4759"/>
    <w:rsid w:val="008B6A92"/>
    <w:rsid w:val="008C3761"/>
    <w:rsid w:val="009100E7"/>
    <w:rsid w:val="009957DD"/>
    <w:rsid w:val="00AC3DE5"/>
    <w:rsid w:val="00AF0E4D"/>
    <w:rsid w:val="00AF5F20"/>
    <w:rsid w:val="00B01DA4"/>
    <w:rsid w:val="00B83CD3"/>
    <w:rsid w:val="00BD1201"/>
    <w:rsid w:val="00BF0470"/>
    <w:rsid w:val="00C1768D"/>
    <w:rsid w:val="00C51DCF"/>
    <w:rsid w:val="00C92C89"/>
    <w:rsid w:val="00CC3233"/>
    <w:rsid w:val="00D57FF3"/>
    <w:rsid w:val="00D95F99"/>
    <w:rsid w:val="00E13FD6"/>
    <w:rsid w:val="00E14626"/>
    <w:rsid w:val="00E40FF2"/>
    <w:rsid w:val="00EA2353"/>
    <w:rsid w:val="00EE362C"/>
    <w:rsid w:val="00F5019E"/>
    <w:rsid w:val="00F55082"/>
    <w:rsid w:val="00F57720"/>
    <w:rsid w:val="00FA1ED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6E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233"/>
    <w:pPr>
      <w:ind w:left="720"/>
      <w:contextualSpacing/>
    </w:pPr>
  </w:style>
  <w:style w:type="paragraph" w:styleId="Encabezado">
    <w:name w:val="header"/>
    <w:basedOn w:val="Normal"/>
    <w:link w:val="EncabezadoCar"/>
    <w:uiPriority w:val="99"/>
    <w:unhideWhenUsed/>
    <w:rsid w:val="00D95F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F99"/>
  </w:style>
  <w:style w:type="paragraph" w:styleId="Piedepgina">
    <w:name w:val="footer"/>
    <w:basedOn w:val="Normal"/>
    <w:link w:val="PiedepginaCar"/>
    <w:uiPriority w:val="99"/>
    <w:unhideWhenUsed/>
    <w:rsid w:val="00D95F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5F99"/>
  </w:style>
  <w:style w:type="paragraph" w:styleId="Textodeglobo">
    <w:name w:val="Balloon Text"/>
    <w:basedOn w:val="Normal"/>
    <w:link w:val="TextodegloboCar"/>
    <w:uiPriority w:val="99"/>
    <w:semiHidden/>
    <w:unhideWhenUsed/>
    <w:rsid w:val="00D95F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5F99"/>
    <w:rPr>
      <w:rFonts w:ascii="Tahoma" w:hAnsi="Tahoma" w:cs="Tahoma"/>
      <w:sz w:val="16"/>
      <w:szCs w:val="16"/>
    </w:rPr>
  </w:style>
  <w:style w:type="table" w:styleId="Tablaconcuadrcula">
    <w:name w:val="Table Grid"/>
    <w:basedOn w:val="Tablanormal"/>
    <w:uiPriority w:val="59"/>
    <w:rsid w:val="00D95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3E19ED"/>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EE362C"/>
    <w:rPr>
      <w:rFonts w:ascii="Calibri" w:eastAsia="Times New Roman" w:hAnsi="Calibri" w:cs="Times New Roman"/>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233"/>
    <w:pPr>
      <w:ind w:left="720"/>
      <w:contextualSpacing/>
    </w:pPr>
  </w:style>
  <w:style w:type="paragraph" w:styleId="Encabezado">
    <w:name w:val="header"/>
    <w:basedOn w:val="Normal"/>
    <w:link w:val="EncabezadoCar"/>
    <w:uiPriority w:val="99"/>
    <w:unhideWhenUsed/>
    <w:rsid w:val="00D95F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F99"/>
  </w:style>
  <w:style w:type="paragraph" w:styleId="Piedepgina">
    <w:name w:val="footer"/>
    <w:basedOn w:val="Normal"/>
    <w:link w:val="PiedepginaCar"/>
    <w:uiPriority w:val="99"/>
    <w:unhideWhenUsed/>
    <w:rsid w:val="00D95F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5F99"/>
  </w:style>
  <w:style w:type="paragraph" w:styleId="Textodeglobo">
    <w:name w:val="Balloon Text"/>
    <w:basedOn w:val="Normal"/>
    <w:link w:val="TextodegloboCar"/>
    <w:uiPriority w:val="99"/>
    <w:semiHidden/>
    <w:unhideWhenUsed/>
    <w:rsid w:val="00D95F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5F99"/>
    <w:rPr>
      <w:rFonts w:ascii="Tahoma" w:hAnsi="Tahoma" w:cs="Tahoma"/>
      <w:sz w:val="16"/>
      <w:szCs w:val="16"/>
    </w:rPr>
  </w:style>
  <w:style w:type="table" w:styleId="Tablaconcuadrcula">
    <w:name w:val="Table Grid"/>
    <w:basedOn w:val="Tablanormal"/>
    <w:uiPriority w:val="59"/>
    <w:rsid w:val="00D95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3E19ED"/>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EE362C"/>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7108">
      <w:bodyDiv w:val="1"/>
      <w:marLeft w:val="0"/>
      <w:marRight w:val="0"/>
      <w:marTop w:val="0"/>
      <w:marBottom w:val="0"/>
      <w:divBdr>
        <w:top w:val="none" w:sz="0" w:space="0" w:color="auto"/>
        <w:left w:val="none" w:sz="0" w:space="0" w:color="auto"/>
        <w:bottom w:val="none" w:sz="0" w:space="0" w:color="auto"/>
        <w:right w:val="none" w:sz="0" w:space="0" w:color="auto"/>
      </w:divBdr>
      <w:divsChild>
        <w:div w:id="1052576713">
          <w:marLeft w:val="576"/>
          <w:marRight w:val="0"/>
          <w:marTop w:val="0"/>
          <w:marBottom w:val="0"/>
          <w:divBdr>
            <w:top w:val="none" w:sz="0" w:space="0" w:color="auto"/>
            <w:left w:val="none" w:sz="0" w:space="0" w:color="auto"/>
            <w:bottom w:val="none" w:sz="0" w:space="0" w:color="auto"/>
            <w:right w:val="none" w:sz="0" w:space="0" w:color="auto"/>
          </w:divBdr>
        </w:div>
        <w:div w:id="734738938">
          <w:marLeft w:val="576"/>
          <w:marRight w:val="0"/>
          <w:marTop w:val="0"/>
          <w:marBottom w:val="0"/>
          <w:divBdr>
            <w:top w:val="none" w:sz="0" w:space="0" w:color="auto"/>
            <w:left w:val="none" w:sz="0" w:space="0" w:color="auto"/>
            <w:bottom w:val="none" w:sz="0" w:space="0" w:color="auto"/>
            <w:right w:val="none" w:sz="0" w:space="0" w:color="auto"/>
          </w:divBdr>
        </w:div>
        <w:div w:id="1261721306">
          <w:marLeft w:val="576"/>
          <w:marRight w:val="0"/>
          <w:marTop w:val="0"/>
          <w:marBottom w:val="0"/>
          <w:divBdr>
            <w:top w:val="none" w:sz="0" w:space="0" w:color="auto"/>
            <w:left w:val="none" w:sz="0" w:space="0" w:color="auto"/>
            <w:bottom w:val="none" w:sz="0" w:space="0" w:color="auto"/>
            <w:right w:val="none" w:sz="0" w:space="0" w:color="auto"/>
          </w:divBdr>
        </w:div>
        <w:div w:id="2050447111">
          <w:marLeft w:val="576"/>
          <w:marRight w:val="0"/>
          <w:marTop w:val="0"/>
          <w:marBottom w:val="0"/>
          <w:divBdr>
            <w:top w:val="none" w:sz="0" w:space="0" w:color="auto"/>
            <w:left w:val="none" w:sz="0" w:space="0" w:color="auto"/>
            <w:bottom w:val="none" w:sz="0" w:space="0" w:color="auto"/>
            <w:right w:val="none" w:sz="0" w:space="0" w:color="auto"/>
          </w:divBdr>
        </w:div>
        <w:div w:id="1271280541">
          <w:marLeft w:val="576"/>
          <w:marRight w:val="0"/>
          <w:marTop w:val="0"/>
          <w:marBottom w:val="0"/>
          <w:divBdr>
            <w:top w:val="none" w:sz="0" w:space="0" w:color="auto"/>
            <w:left w:val="none" w:sz="0" w:space="0" w:color="auto"/>
            <w:bottom w:val="none" w:sz="0" w:space="0" w:color="auto"/>
            <w:right w:val="none" w:sz="0" w:space="0" w:color="auto"/>
          </w:divBdr>
        </w:div>
      </w:divsChild>
    </w:div>
    <w:div w:id="662322728">
      <w:bodyDiv w:val="1"/>
      <w:marLeft w:val="0"/>
      <w:marRight w:val="0"/>
      <w:marTop w:val="0"/>
      <w:marBottom w:val="0"/>
      <w:divBdr>
        <w:top w:val="none" w:sz="0" w:space="0" w:color="auto"/>
        <w:left w:val="none" w:sz="0" w:space="0" w:color="auto"/>
        <w:bottom w:val="none" w:sz="0" w:space="0" w:color="auto"/>
        <w:right w:val="none" w:sz="0" w:space="0" w:color="auto"/>
      </w:divBdr>
      <w:divsChild>
        <w:div w:id="1810126683">
          <w:marLeft w:val="576"/>
          <w:marRight w:val="0"/>
          <w:marTop w:val="0"/>
          <w:marBottom w:val="0"/>
          <w:divBdr>
            <w:top w:val="none" w:sz="0" w:space="0" w:color="auto"/>
            <w:left w:val="none" w:sz="0" w:space="0" w:color="auto"/>
            <w:bottom w:val="none" w:sz="0" w:space="0" w:color="auto"/>
            <w:right w:val="none" w:sz="0" w:space="0" w:color="auto"/>
          </w:divBdr>
        </w:div>
        <w:div w:id="1824809735">
          <w:marLeft w:val="576"/>
          <w:marRight w:val="0"/>
          <w:marTop w:val="0"/>
          <w:marBottom w:val="0"/>
          <w:divBdr>
            <w:top w:val="none" w:sz="0" w:space="0" w:color="auto"/>
            <w:left w:val="none" w:sz="0" w:space="0" w:color="auto"/>
            <w:bottom w:val="none" w:sz="0" w:space="0" w:color="auto"/>
            <w:right w:val="none" w:sz="0" w:space="0" w:color="auto"/>
          </w:divBdr>
        </w:div>
        <w:div w:id="925114996">
          <w:marLeft w:val="576"/>
          <w:marRight w:val="0"/>
          <w:marTop w:val="0"/>
          <w:marBottom w:val="0"/>
          <w:divBdr>
            <w:top w:val="none" w:sz="0" w:space="0" w:color="auto"/>
            <w:left w:val="none" w:sz="0" w:space="0" w:color="auto"/>
            <w:bottom w:val="none" w:sz="0" w:space="0" w:color="auto"/>
            <w:right w:val="none" w:sz="0" w:space="0" w:color="auto"/>
          </w:divBdr>
        </w:div>
        <w:div w:id="1262686629">
          <w:marLeft w:val="576"/>
          <w:marRight w:val="0"/>
          <w:marTop w:val="0"/>
          <w:marBottom w:val="0"/>
          <w:divBdr>
            <w:top w:val="none" w:sz="0" w:space="0" w:color="auto"/>
            <w:left w:val="none" w:sz="0" w:space="0" w:color="auto"/>
            <w:bottom w:val="none" w:sz="0" w:space="0" w:color="auto"/>
            <w:right w:val="none" w:sz="0" w:space="0" w:color="auto"/>
          </w:divBdr>
        </w:div>
        <w:div w:id="1869754422">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3463</Characters>
  <Application>Microsoft Macintosh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arquimedes.martinez</dc:creator>
  <cp:lastModifiedBy>David Mondragón</cp:lastModifiedBy>
  <cp:revision>2</cp:revision>
  <cp:lastPrinted>2013-08-14T18:52:00Z</cp:lastPrinted>
  <dcterms:created xsi:type="dcterms:W3CDTF">2013-08-20T18:59:00Z</dcterms:created>
  <dcterms:modified xsi:type="dcterms:W3CDTF">2013-08-20T18:59:00Z</dcterms:modified>
</cp:coreProperties>
</file>