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041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SEXTA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1D041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15</w:t>
                            </w:r>
                            <w:r w:rsidR="000B1A2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JULIO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1D041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13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041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SEXTA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1D041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15</w:t>
                      </w:r>
                      <w:r w:rsidR="000B1A2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JULIO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1D041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13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D431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1D041A">
        <w:rPr>
          <w:rFonts w:ascii="Arial" w:hAnsi="Arial" w:cs="Arial"/>
          <w:sz w:val="20"/>
          <w:szCs w:val="20"/>
        </w:rPr>
        <w:t xml:space="preserve">Quinta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1D041A">
        <w:rPr>
          <w:rFonts w:ascii="Arial" w:hAnsi="Arial" w:cs="Arial"/>
          <w:sz w:val="20"/>
          <w:szCs w:val="20"/>
        </w:rPr>
        <w:t>08</w:t>
      </w:r>
      <w:r w:rsidR="003D2E96">
        <w:rPr>
          <w:rFonts w:ascii="Arial" w:hAnsi="Arial" w:cs="Arial"/>
          <w:sz w:val="20"/>
          <w:szCs w:val="20"/>
        </w:rPr>
        <w:t xml:space="preserve"> de julio 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Pr="00F970DF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A7659" w:rsidRDefault="008B4408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EA7659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EA7659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0B1A20">
        <w:rPr>
          <w:rFonts w:ascii="Arial" w:hAnsi="Arial" w:cs="Arial"/>
          <w:bCs/>
          <w:sz w:val="20"/>
          <w:szCs w:val="20"/>
          <w:lang w:val="es-MX"/>
        </w:rPr>
        <w:t xml:space="preserve">aprueba </w:t>
      </w:r>
      <w:r w:rsidR="00CE4478" w:rsidRPr="00CE4478">
        <w:rPr>
          <w:rFonts w:ascii="Arial" w:hAnsi="Arial" w:cs="Arial"/>
          <w:bCs/>
          <w:sz w:val="20"/>
          <w:szCs w:val="20"/>
          <w:lang w:val="es-MX"/>
        </w:rPr>
        <w:t xml:space="preserve">la firma del Convenio </w:t>
      </w:r>
      <w:r w:rsidR="001D041A">
        <w:rPr>
          <w:rFonts w:ascii="Arial" w:hAnsi="Arial" w:cs="Arial"/>
          <w:bCs/>
          <w:sz w:val="20"/>
          <w:szCs w:val="20"/>
          <w:lang w:val="es-MX"/>
        </w:rPr>
        <w:t xml:space="preserve">que celebrarán </w:t>
      </w:r>
      <w:r w:rsidR="001D041A" w:rsidRPr="001D041A">
        <w:rPr>
          <w:rFonts w:ascii="Arial" w:hAnsi="Arial" w:cs="Arial"/>
          <w:bCs/>
          <w:sz w:val="20"/>
          <w:szCs w:val="20"/>
          <w:lang w:val="es-MX"/>
        </w:rPr>
        <w:t xml:space="preserve">Servicios Metropolitanos, S.A. </w:t>
      </w:r>
      <w:r w:rsidR="001D041A">
        <w:rPr>
          <w:rFonts w:ascii="Arial" w:hAnsi="Arial" w:cs="Arial"/>
          <w:bCs/>
          <w:sz w:val="20"/>
          <w:szCs w:val="20"/>
          <w:lang w:val="es-MX"/>
        </w:rPr>
        <w:t>de C.V.</w:t>
      </w:r>
      <w:r w:rsidR="0035110B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="001D041A">
        <w:rPr>
          <w:rFonts w:ascii="Arial" w:hAnsi="Arial" w:cs="Arial"/>
          <w:bCs/>
          <w:sz w:val="20"/>
          <w:szCs w:val="20"/>
          <w:lang w:val="es-MX"/>
        </w:rPr>
        <w:t xml:space="preserve">y el </w:t>
      </w:r>
      <w:r w:rsidR="00CE4478" w:rsidRPr="00CE4478">
        <w:rPr>
          <w:rFonts w:ascii="Arial" w:hAnsi="Arial" w:cs="Arial"/>
          <w:bCs/>
          <w:sz w:val="20"/>
          <w:szCs w:val="20"/>
          <w:lang w:val="es-MX"/>
        </w:rPr>
        <w:t>Instituto de Acceso a la Información Pública y Protección de Datos Personales del Distrito Federal.</w:t>
      </w:r>
    </w:p>
    <w:p w:rsidR="00CE4478" w:rsidRDefault="00CE4478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>Presentación</w:t>
      </w:r>
      <w:r>
        <w:rPr>
          <w:rFonts w:ascii="Arial" w:hAnsi="Arial" w:cs="Arial"/>
          <w:sz w:val="20"/>
          <w:szCs w:val="20"/>
        </w:rPr>
        <w:t xml:space="preserve"> del Informe del Avance Programático Presupuestal del Instituto de Acceso a la</w:t>
      </w:r>
      <w:r w:rsidRPr="000D0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Información Pública y Protección de Datos Personales del Distrito Federal, correspondiente al periodo de Enero-Junio 2015.</w:t>
      </w: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0CD0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Pr="009C7645">
        <w:rPr>
          <w:rFonts w:ascii="Arial" w:hAnsi="Arial" w:cs="Arial"/>
          <w:bCs/>
          <w:sz w:val="20"/>
          <w:szCs w:val="20"/>
          <w:lang w:val="es-MX"/>
        </w:rPr>
        <w:t xml:space="preserve">aprueban los Criterios y Metodología de Evaluación para la Entrega </w:t>
      </w:r>
      <w:r w:rsidR="0035110B">
        <w:rPr>
          <w:rFonts w:ascii="Arial" w:hAnsi="Arial" w:cs="Arial"/>
          <w:bCs/>
          <w:sz w:val="20"/>
          <w:szCs w:val="20"/>
          <w:lang w:val="es-MX"/>
        </w:rPr>
        <w:t xml:space="preserve">de </w:t>
      </w:r>
      <w:r w:rsidRPr="009C7645">
        <w:rPr>
          <w:rFonts w:ascii="Arial" w:hAnsi="Arial" w:cs="Arial"/>
          <w:bCs/>
          <w:sz w:val="20"/>
          <w:szCs w:val="20"/>
          <w:lang w:val="es-MX"/>
        </w:rPr>
        <w:t>Reconocimientos a las Mejores Prácticas de Transparencia 2015.</w:t>
      </w: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C0C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aprueban </w:t>
      </w:r>
      <w:r w:rsidRPr="004356E6">
        <w:rPr>
          <w:rFonts w:ascii="Arial" w:hAnsi="Arial" w:cs="Arial"/>
          <w:bCs/>
          <w:sz w:val="20"/>
          <w:szCs w:val="20"/>
          <w:lang w:val="es-MX"/>
        </w:rPr>
        <w:t xml:space="preserve">los Criterios y la Metodología de Evaluación del artículo 9 de la Ley de Protección de Datos Personales </w:t>
      </w:r>
      <w:r w:rsidR="0035110B" w:rsidRPr="004356E6">
        <w:rPr>
          <w:rFonts w:ascii="Arial" w:hAnsi="Arial" w:cs="Arial"/>
          <w:bCs/>
          <w:sz w:val="20"/>
          <w:szCs w:val="20"/>
          <w:lang w:val="es-MX"/>
        </w:rPr>
        <w:t xml:space="preserve">para </w:t>
      </w:r>
      <w:r w:rsidRPr="004356E6">
        <w:rPr>
          <w:rFonts w:ascii="Arial" w:hAnsi="Arial" w:cs="Arial"/>
          <w:bCs/>
          <w:sz w:val="20"/>
          <w:szCs w:val="20"/>
          <w:lang w:val="es-MX"/>
        </w:rPr>
        <w:t>el Dist</w:t>
      </w:r>
      <w:bookmarkStart w:id="0" w:name="_GoBack"/>
      <w:bookmarkEnd w:id="0"/>
      <w:r w:rsidRPr="004356E6">
        <w:rPr>
          <w:rFonts w:ascii="Arial" w:hAnsi="Arial" w:cs="Arial"/>
          <w:bCs/>
          <w:sz w:val="20"/>
          <w:szCs w:val="20"/>
          <w:lang w:val="es-MX"/>
        </w:rPr>
        <w:t>rito Federal.</w:t>
      </w: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3C0C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Pr="004356E6">
        <w:rPr>
          <w:rFonts w:ascii="Arial" w:hAnsi="Arial" w:cs="Arial"/>
          <w:bCs/>
          <w:sz w:val="20"/>
          <w:szCs w:val="20"/>
          <w:lang w:val="es-MX"/>
        </w:rPr>
        <w:t>aprueban los Criterios y Metodología de Evaluación de la Calidad de la Información inscrita en el Registro Electrónico de Sistemas de Datos Personales (RESDP).</w:t>
      </w: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97674" w:rsidRDefault="003C0CD0" w:rsidP="001A12E5">
      <w:pPr>
        <w:ind w:left="705" w:right="-516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97674" w:rsidRPr="00F970DF">
        <w:rPr>
          <w:rFonts w:ascii="Arial" w:hAnsi="Arial" w:cs="Arial"/>
          <w:b/>
          <w:sz w:val="20"/>
          <w:szCs w:val="20"/>
        </w:rPr>
        <w:t>.</w:t>
      </w:r>
      <w:r w:rsidR="00097674" w:rsidRPr="00F970DF">
        <w:rPr>
          <w:rFonts w:ascii="Arial" w:hAnsi="Arial" w:cs="Arial"/>
          <w:b/>
          <w:sz w:val="20"/>
          <w:szCs w:val="20"/>
        </w:rPr>
        <w:tab/>
      </w:r>
      <w:r w:rsidR="00097674" w:rsidRPr="00F970DF">
        <w:rPr>
          <w:rFonts w:ascii="Arial" w:hAnsi="Arial" w:cs="Arial"/>
          <w:b/>
          <w:sz w:val="20"/>
          <w:szCs w:val="20"/>
        </w:rPr>
        <w:tab/>
      </w:r>
      <w:r w:rsidR="00097674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</w:t>
      </w:r>
      <w:r w:rsidR="00097674" w:rsidRPr="008D33D1">
        <w:rPr>
          <w:rFonts w:ascii="Arial" w:hAnsi="Arial" w:cs="Arial"/>
          <w:sz w:val="20"/>
          <w:szCs w:val="20"/>
        </w:rPr>
        <w:t xml:space="preserve">Acuerdo por el que se aprueba </w:t>
      </w:r>
      <w:r w:rsidR="00097674" w:rsidRPr="009E2749">
        <w:rPr>
          <w:rFonts w:ascii="Arial" w:hAnsi="Arial" w:cs="Arial"/>
          <w:sz w:val="20"/>
          <w:szCs w:val="20"/>
        </w:rPr>
        <w:t>la Convocatoria para el Tercer Concurso de Videobloggers 2015 en las Delegaciones Iztapalapa, Miguel Hidalgo, Tláhuac y Tlalpan.</w:t>
      </w:r>
    </w:p>
    <w:p w:rsidR="00097674" w:rsidRDefault="00097674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X.</w:t>
      </w:r>
      <w:r w:rsidR="00497C1D"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0B1A20">
        <w:rPr>
          <w:rFonts w:ascii="Arial" w:hAnsi="Arial" w:cs="Arial"/>
          <w:sz w:val="20"/>
          <w:szCs w:val="20"/>
        </w:rPr>
        <w:t xml:space="preserve">del siguiente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060CD7" w:rsidP="001A12E5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512F06">
        <w:rPr>
          <w:rFonts w:ascii="Arial" w:hAnsi="Arial" w:cs="Arial"/>
          <w:sz w:val="20"/>
          <w:szCs w:val="20"/>
        </w:rPr>
        <w:t>de la Procuraduría General de Justicia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941EEC">
        <w:rPr>
          <w:rFonts w:ascii="Arial" w:hAnsi="Arial" w:cs="Arial"/>
          <w:sz w:val="20"/>
          <w:szCs w:val="20"/>
        </w:rPr>
        <w:t>32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C0CD0">
        <w:rPr>
          <w:rFonts w:ascii="Arial" w:hAnsi="Arial" w:cs="Arial"/>
          <w:b/>
          <w:sz w:val="20"/>
          <w:szCs w:val="20"/>
        </w:rPr>
        <w:t>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173270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Asamblea Legislativa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3C0CD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1224/2014.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C0CD0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3C0CD0">
        <w:rPr>
          <w:rFonts w:ascii="Arial" w:hAnsi="Arial" w:cs="Arial"/>
          <w:sz w:val="20"/>
          <w:szCs w:val="20"/>
        </w:rPr>
        <w:t>de la Secretaría de Seguridad Pública del Distrito Federal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RR.SIP.0501/2015 y sus Acumulados RR.SIP.0502/2015 y RR.SIP.0503/2015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C0CD0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F76618" w:rsidRPr="00F970DF">
        <w:rPr>
          <w:rFonts w:ascii="Arial" w:hAnsi="Arial" w:cs="Arial"/>
          <w:sz w:val="20"/>
          <w:szCs w:val="20"/>
        </w:rPr>
        <w:t>en contra</w:t>
      </w:r>
      <w:r w:rsidR="00F76618">
        <w:rPr>
          <w:rFonts w:ascii="Arial" w:hAnsi="Arial" w:cs="Arial"/>
          <w:sz w:val="20"/>
          <w:szCs w:val="20"/>
        </w:rPr>
        <w:t xml:space="preserve"> </w:t>
      </w:r>
      <w:r w:rsidR="007D6CAE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0528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C0CD0">
        <w:rPr>
          <w:rFonts w:ascii="Arial" w:hAnsi="Arial" w:cs="Arial"/>
          <w:b/>
          <w:sz w:val="20"/>
          <w:szCs w:val="20"/>
        </w:rPr>
        <w:t>I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>en contra de la Secretaría de Seguridad Pública del Distrito Federal</w:t>
      </w:r>
      <w:r w:rsidR="0026181B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0558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>de la</w:t>
      </w:r>
      <w:r w:rsidR="007D6CAE">
        <w:rPr>
          <w:rFonts w:ascii="Arial" w:hAnsi="Arial" w:cs="Arial"/>
          <w:sz w:val="20"/>
          <w:szCs w:val="20"/>
        </w:rPr>
        <w:t xml:space="preserve"> Delegación Cuauhtémoc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0543</w:t>
      </w:r>
      <w:r w:rsidR="00F863CA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D6CAE">
        <w:rPr>
          <w:rFonts w:ascii="Arial" w:hAnsi="Arial" w:cs="Arial"/>
          <w:sz w:val="20"/>
          <w:szCs w:val="20"/>
        </w:rPr>
        <w:t xml:space="preserve">de la Delegación Cuauhtémoc,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C353AA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0685</w:t>
      </w:r>
      <w:r w:rsidR="0026181B">
        <w:rPr>
          <w:rFonts w:ascii="Arial" w:hAnsi="Arial" w:cs="Arial"/>
          <w:sz w:val="20"/>
          <w:szCs w:val="20"/>
        </w:rPr>
        <w:t>/2015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 xml:space="preserve">de la Delegación Cuauhtémoc, </w:t>
      </w:r>
      <w:r w:rsidR="00DA70C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70C4" w:rsidRPr="00B52D72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0900</w:t>
      </w:r>
      <w:r w:rsidR="00DA70C4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CE42F1">
        <w:rPr>
          <w:rFonts w:ascii="Arial" w:hAnsi="Arial" w:cs="Arial"/>
          <w:sz w:val="20"/>
          <w:szCs w:val="20"/>
        </w:rPr>
        <w:t xml:space="preserve">Secretaría </w:t>
      </w:r>
      <w:r w:rsidR="00704AA6">
        <w:rPr>
          <w:rFonts w:ascii="Arial" w:hAnsi="Arial" w:cs="Arial"/>
          <w:sz w:val="20"/>
          <w:szCs w:val="20"/>
        </w:rPr>
        <w:t>de Finanzas</w:t>
      </w:r>
      <w:r w:rsidR="00CE42F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</w:t>
      </w:r>
      <w:r w:rsidR="00CE42F1">
        <w:rPr>
          <w:rFonts w:ascii="Arial" w:hAnsi="Arial" w:cs="Arial"/>
          <w:sz w:val="20"/>
          <w:szCs w:val="20"/>
        </w:rPr>
        <w:t>54</w:t>
      </w:r>
      <w:r w:rsidR="00704AA6">
        <w:rPr>
          <w:rFonts w:ascii="Arial" w:hAnsi="Arial" w:cs="Arial"/>
          <w:sz w:val="20"/>
          <w:szCs w:val="20"/>
        </w:rPr>
        <w:t>9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>de la Delegación Milpa Alta</w:t>
      </w:r>
      <w:r w:rsidR="002B2986">
        <w:rPr>
          <w:rFonts w:ascii="Arial" w:hAnsi="Arial" w:cs="Arial"/>
          <w:sz w:val="20"/>
          <w:szCs w:val="20"/>
        </w:rPr>
        <w:t xml:space="preserve">, </w:t>
      </w:r>
      <w:r w:rsidR="00A04D80">
        <w:rPr>
          <w:rFonts w:ascii="Arial" w:hAnsi="Arial" w:cs="Arial"/>
          <w:sz w:val="20"/>
          <w:szCs w:val="20"/>
        </w:rPr>
        <w:t>con expediente número RR.SIP.</w:t>
      </w:r>
      <w:r w:rsidR="00704AA6">
        <w:rPr>
          <w:rFonts w:ascii="Arial" w:hAnsi="Arial" w:cs="Arial"/>
          <w:sz w:val="20"/>
          <w:szCs w:val="20"/>
        </w:rPr>
        <w:t>0550</w:t>
      </w:r>
      <w:r w:rsidR="002B2986">
        <w:rPr>
          <w:rFonts w:ascii="Arial" w:hAnsi="Arial" w:cs="Arial"/>
          <w:sz w:val="20"/>
          <w:szCs w:val="20"/>
        </w:rPr>
        <w:t>/</w:t>
      </w:r>
      <w:r w:rsidR="00A04D80">
        <w:rPr>
          <w:rFonts w:ascii="Arial" w:hAnsi="Arial" w:cs="Arial"/>
          <w:sz w:val="20"/>
          <w:szCs w:val="20"/>
        </w:rPr>
        <w:t>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AC4C69">
        <w:rPr>
          <w:rFonts w:ascii="Arial" w:hAnsi="Arial" w:cs="Arial"/>
          <w:sz w:val="20"/>
          <w:szCs w:val="20"/>
        </w:rPr>
        <w:t xml:space="preserve"> </w:t>
      </w:r>
      <w:r w:rsidR="00380113" w:rsidRPr="00380113">
        <w:rPr>
          <w:rFonts w:ascii="Arial" w:hAnsi="Arial" w:cs="Arial"/>
          <w:sz w:val="20"/>
          <w:szCs w:val="20"/>
        </w:rPr>
        <w:t xml:space="preserve">Secretaría </w:t>
      </w:r>
      <w:r w:rsidR="00380113">
        <w:rPr>
          <w:rFonts w:ascii="Arial" w:hAnsi="Arial" w:cs="Arial"/>
          <w:sz w:val="20"/>
          <w:szCs w:val="20"/>
        </w:rPr>
        <w:t>de</w:t>
      </w:r>
      <w:r w:rsidR="002B2986">
        <w:rPr>
          <w:rFonts w:ascii="Arial" w:hAnsi="Arial" w:cs="Arial"/>
          <w:sz w:val="20"/>
          <w:szCs w:val="20"/>
        </w:rPr>
        <w:t xml:space="preserve"> </w:t>
      </w:r>
      <w:r w:rsidR="00704AA6">
        <w:rPr>
          <w:rFonts w:ascii="Arial" w:hAnsi="Arial" w:cs="Arial"/>
          <w:sz w:val="20"/>
          <w:szCs w:val="20"/>
        </w:rPr>
        <w:t>Obras y Servicios</w:t>
      </w:r>
      <w:r w:rsidR="00AC4C69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4C69" w:rsidRPr="00AC4C69">
        <w:rPr>
          <w:rFonts w:ascii="Arial" w:hAnsi="Arial" w:cs="Arial"/>
          <w:sz w:val="20"/>
          <w:szCs w:val="20"/>
        </w:rPr>
        <w:t>RR.SIP.0</w:t>
      </w:r>
      <w:r w:rsidR="002B2986">
        <w:rPr>
          <w:rFonts w:ascii="Arial" w:hAnsi="Arial" w:cs="Arial"/>
          <w:sz w:val="20"/>
          <w:szCs w:val="20"/>
        </w:rPr>
        <w:t>5</w:t>
      </w:r>
      <w:r w:rsidR="00704AA6">
        <w:rPr>
          <w:rFonts w:ascii="Arial" w:hAnsi="Arial" w:cs="Arial"/>
          <w:sz w:val="20"/>
          <w:szCs w:val="20"/>
        </w:rPr>
        <w:t>53</w:t>
      </w:r>
      <w:r w:rsidR="00AC4C69" w:rsidRPr="00AC4C69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704AA6" w:rsidRPr="00F970DF">
        <w:rPr>
          <w:rFonts w:ascii="Arial" w:hAnsi="Arial" w:cs="Arial"/>
          <w:sz w:val="20"/>
          <w:szCs w:val="20"/>
        </w:rPr>
        <w:t xml:space="preserve">en contra </w:t>
      </w:r>
      <w:r w:rsidR="00704AA6">
        <w:rPr>
          <w:rFonts w:ascii="Arial" w:hAnsi="Arial" w:cs="Arial"/>
          <w:sz w:val="20"/>
          <w:szCs w:val="20"/>
        </w:rPr>
        <w:t xml:space="preserve">de la </w:t>
      </w:r>
      <w:r w:rsidR="00704AA6" w:rsidRPr="00380113">
        <w:rPr>
          <w:rFonts w:ascii="Arial" w:hAnsi="Arial" w:cs="Arial"/>
          <w:sz w:val="20"/>
          <w:szCs w:val="20"/>
        </w:rPr>
        <w:t xml:space="preserve">Secretaría </w:t>
      </w:r>
      <w:r w:rsidR="00704AA6">
        <w:rPr>
          <w:rFonts w:ascii="Arial" w:hAnsi="Arial" w:cs="Arial"/>
          <w:sz w:val="20"/>
          <w:szCs w:val="20"/>
        </w:rPr>
        <w:t xml:space="preserve">de Obras y Servicios, </w:t>
      </w:r>
      <w:r w:rsidR="00704A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0673</w:t>
      </w:r>
      <w:r w:rsidR="00704AA6" w:rsidRPr="00AC4C69">
        <w:rPr>
          <w:rFonts w:ascii="Arial" w:hAnsi="Arial" w:cs="Arial"/>
          <w:sz w:val="20"/>
          <w:szCs w:val="20"/>
        </w:rPr>
        <w:t>/2015</w:t>
      </w:r>
      <w:r w:rsidR="00704AA6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Delegación </w:t>
      </w:r>
      <w:r w:rsidR="00704AA6">
        <w:rPr>
          <w:rFonts w:ascii="Arial" w:hAnsi="Arial" w:cs="Arial"/>
          <w:sz w:val="20"/>
          <w:szCs w:val="20"/>
        </w:rPr>
        <w:t>Miguel Hidalgo</w:t>
      </w:r>
      <w:r w:rsidR="0065550A">
        <w:rPr>
          <w:rFonts w:ascii="Arial" w:hAnsi="Arial" w:cs="Arial"/>
          <w:sz w:val="20"/>
          <w:szCs w:val="20"/>
        </w:rPr>
        <w:t xml:space="preserve">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0555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</w:t>
      </w:r>
      <w:r w:rsidR="00704AA6">
        <w:rPr>
          <w:rFonts w:ascii="Arial" w:hAnsi="Arial" w:cs="Arial"/>
          <w:sz w:val="20"/>
          <w:szCs w:val="20"/>
        </w:rPr>
        <w:t>Secretaría de Desarrollo Urbano y Vivienda</w:t>
      </w:r>
      <w:r w:rsidR="0065550A">
        <w:rPr>
          <w:rFonts w:ascii="Arial" w:hAnsi="Arial" w:cs="Arial"/>
          <w:sz w:val="20"/>
          <w:szCs w:val="20"/>
        </w:rPr>
        <w:t xml:space="preserve">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0556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 </w:t>
      </w:r>
      <w:r w:rsidR="00704AA6">
        <w:rPr>
          <w:rFonts w:ascii="Arial" w:hAnsi="Arial" w:cs="Arial"/>
          <w:sz w:val="20"/>
          <w:szCs w:val="20"/>
        </w:rPr>
        <w:t>Policía Auxiliar del Distrito Federal</w:t>
      </w:r>
      <w:r w:rsidR="00950628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0560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704AA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>de la Delegación Coyoacán</w:t>
      </w:r>
      <w:r w:rsidR="00512F59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704AA6">
        <w:rPr>
          <w:rFonts w:ascii="Arial" w:hAnsi="Arial" w:cs="Arial"/>
          <w:sz w:val="20"/>
          <w:szCs w:val="20"/>
        </w:rPr>
        <w:t>RR.SIP.0564/2015 y su Acumulado RR.SIP.0565/2015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A75410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75410">
        <w:rPr>
          <w:rFonts w:ascii="Arial" w:hAnsi="Arial" w:cs="Arial"/>
          <w:sz w:val="20"/>
          <w:szCs w:val="20"/>
        </w:rPr>
        <w:t>de la Delegación Coyoacán</w:t>
      </w:r>
      <w:r w:rsidR="00EF51BE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51BE" w:rsidRPr="00EF51BE">
        <w:rPr>
          <w:rFonts w:ascii="Arial" w:hAnsi="Arial" w:cs="Arial"/>
          <w:sz w:val="20"/>
          <w:szCs w:val="20"/>
        </w:rPr>
        <w:t>RR.SIP.</w:t>
      </w:r>
      <w:r w:rsidR="00A75410">
        <w:rPr>
          <w:rFonts w:ascii="Arial" w:hAnsi="Arial" w:cs="Arial"/>
          <w:sz w:val="20"/>
          <w:szCs w:val="20"/>
        </w:rPr>
        <w:t>0608</w:t>
      </w:r>
      <w:r w:rsidR="00526A5A">
        <w:rPr>
          <w:rFonts w:ascii="Arial" w:hAnsi="Arial" w:cs="Arial"/>
          <w:sz w:val="20"/>
          <w:szCs w:val="20"/>
        </w:rPr>
        <w:t>/2015.</w:t>
      </w:r>
    </w:p>
    <w:p w:rsidR="00EF51BE" w:rsidRPr="00F970DF" w:rsidRDefault="00EF51BE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A5830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13EC2">
        <w:rPr>
          <w:rFonts w:ascii="Arial" w:hAnsi="Arial" w:cs="Arial"/>
          <w:sz w:val="20"/>
          <w:szCs w:val="20"/>
        </w:rPr>
        <w:t>de la</w:t>
      </w:r>
      <w:r w:rsidR="00720296">
        <w:rPr>
          <w:rFonts w:ascii="Arial" w:hAnsi="Arial" w:cs="Arial"/>
          <w:sz w:val="20"/>
          <w:szCs w:val="20"/>
        </w:rPr>
        <w:t xml:space="preserve"> </w:t>
      </w:r>
      <w:r w:rsidR="008A5830">
        <w:rPr>
          <w:rFonts w:ascii="Arial" w:hAnsi="Arial" w:cs="Arial"/>
          <w:sz w:val="20"/>
          <w:szCs w:val="20"/>
        </w:rPr>
        <w:t xml:space="preserve">Delegación Benito Juárez,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8A5830">
        <w:rPr>
          <w:rFonts w:ascii="Arial" w:hAnsi="Arial" w:cs="Arial"/>
          <w:sz w:val="20"/>
          <w:szCs w:val="20"/>
        </w:rPr>
        <w:t>0573</w:t>
      </w:r>
      <w:r w:rsidR="00674CE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A5830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8A5830">
        <w:rPr>
          <w:rFonts w:ascii="Arial" w:hAnsi="Arial" w:cs="Arial"/>
          <w:sz w:val="20"/>
          <w:szCs w:val="20"/>
        </w:rPr>
        <w:t>Delegación Gustavo A. Madero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8A5830">
        <w:rPr>
          <w:rFonts w:ascii="Arial" w:hAnsi="Arial" w:cs="Arial"/>
          <w:sz w:val="20"/>
          <w:szCs w:val="20"/>
        </w:rPr>
        <w:t>574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A5830">
        <w:rPr>
          <w:rFonts w:ascii="Arial" w:hAnsi="Arial" w:cs="Arial"/>
          <w:b/>
          <w:sz w:val="20"/>
          <w:szCs w:val="20"/>
        </w:rPr>
        <w:t>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19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350064">
        <w:rPr>
          <w:rFonts w:ascii="Arial" w:hAnsi="Arial" w:cs="Arial"/>
          <w:sz w:val="20"/>
          <w:szCs w:val="20"/>
        </w:rPr>
        <w:t xml:space="preserve">de la </w:t>
      </w:r>
      <w:r w:rsidR="00512F59">
        <w:rPr>
          <w:rFonts w:ascii="Arial" w:hAnsi="Arial" w:cs="Arial"/>
          <w:sz w:val="20"/>
          <w:szCs w:val="20"/>
        </w:rPr>
        <w:t xml:space="preserve">Delegación </w:t>
      </w:r>
      <w:r w:rsidR="008A5830">
        <w:rPr>
          <w:rFonts w:ascii="Arial" w:hAnsi="Arial" w:cs="Arial"/>
          <w:sz w:val="20"/>
          <w:szCs w:val="20"/>
        </w:rPr>
        <w:t>Azcapotzalco</w:t>
      </w:r>
      <w:r w:rsidR="00AF6358">
        <w:rPr>
          <w:rFonts w:ascii="Arial" w:hAnsi="Arial" w:cs="Arial"/>
          <w:sz w:val="20"/>
          <w:szCs w:val="20"/>
        </w:rPr>
        <w:t xml:space="preserve">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RR.SIP.0576/2015 y sus Acumulados RR.SIP.0577/2015, RR.SIP.0593/2015, RR.SIP.0594/2015, RR.SIP.0595/2015, RR.SIP.0596/2015, RR.SIP.0597/2015 y RR.SIP.0598/2015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8A5830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20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Azcapotzalco,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RR.SIP.0587/2015 y sus Acumulados RR.SIP.0600/2015 y RR.SIP.0601/2015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8A5830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21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Azcapotzalco,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0592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8A583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8A5830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22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F822EB">
        <w:rPr>
          <w:rFonts w:ascii="Arial" w:hAnsi="Arial" w:cs="Arial"/>
          <w:sz w:val="20"/>
          <w:szCs w:val="20"/>
        </w:rPr>
        <w:t xml:space="preserve"> Oficialía Mayor del Gobierno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 w:rsidR="00F822EB">
        <w:rPr>
          <w:rFonts w:ascii="Arial" w:hAnsi="Arial" w:cs="Arial"/>
          <w:sz w:val="20"/>
          <w:szCs w:val="20"/>
        </w:rPr>
        <w:t>0578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Cuajimalpa de Morelos,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0580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8A5830" w:rsidRDefault="008A583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Venustiano Carranza,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0582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Venustiano Carranza,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0679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C3D3D" w:rsidRDefault="00EC3D3D" w:rsidP="00EC3D3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173270">
        <w:rPr>
          <w:rFonts w:ascii="Arial" w:hAnsi="Arial" w:cs="Arial"/>
          <w:sz w:val="20"/>
          <w:szCs w:val="20"/>
        </w:rPr>
        <w:t xml:space="preserve">Autoridad del Espacio Público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 w:rsidR="00173270">
        <w:rPr>
          <w:rFonts w:ascii="Arial" w:hAnsi="Arial" w:cs="Arial"/>
          <w:sz w:val="20"/>
          <w:szCs w:val="20"/>
        </w:rPr>
        <w:t>0605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173270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0606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173270" w:rsidRPr="00173270" w:rsidRDefault="00173270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173270" w:rsidRDefault="00173270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XI.28.</w:t>
      </w:r>
      <w:r>
        <w:rPr>
          <w:rFonts w:ascii="Arial" w:hAnsi="Arial" w:cs="Arial"/>
          <w:sz w:val="20"/>
          <w:szCs w:val="20"/>
        </w:rPr>
        <w:tab/>
        <w:t>Resolución al Recurso de Revisión interpuesto en contra de la Secretaría de Salud del Distrito Federal, con expediente número RR.SIP.0672/2015.</w:t>
      </w:r>
    </w:p>
    <w:p w:rsidR="00EC3D3D" w:rsidRDefault="00EC3D3D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173270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29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Álvaro Obregón,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0683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173270" w:rsidRDefault="00173270" w:rsidP="0017327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173270" w:rsidP="0017327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8A583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0814</w:t>
      </w:r>
      <w:r w:rsidRPr="008A5830">
        <w:rPr>
          <w:rFonts w:ascii="Arial" w:hAnsi="Arial" w:cs="Arial"/>
          <w:sz w:val="20"/>
          <w:szCs w:val="20"/>
        </w:rPr>
        <w:t>/2015</w:t>
      </w:r>
      <w:r w:rsidRPr="009D49A2">
        <w:rPr>
          <w:rFonts w:ascii="Arial" w:hAnsi="Arial" w:cs="Arial"/>
          <w:sz w:val="20"/>
          <w:szCs w:val="20"/>
        </w:rPr>
        <w:t>.</w:t>
      </w:r>
    </w:p>
    <w:p w:rsidR="00173270" w:rsidRDefault="00173270" w:rsidP="00173270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060CD7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A113E" w:rsidRDefault="005A113E" w:rsidP="001A12E5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Informe Comisiones Comisionados Ciudadanos.</w:t>
      </w:r>
    </w:p>
    <w:p w:rsidR="005A113E" w:rsidRDefault="005A113E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5A113E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A6" w:rsidRDefault="00DB38A6">
      <w:r>
        <w:separator/>
      </w:r>
    </w:p>
  </w:endnote>
  <w:endnote w:type="continuationSeparator" w:id="0">
    <w:p w:rsidR="00DB38A6" w:rsidRDefault="00D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A6" w:rsidRDefault="00DB38A6">
      <w:r>
        <w:separator/>
      </w:r>
    </w:p>
  </w:footnote>
  <w:footnote w:type="continuationSeparator" w:id="0">
    <w:p w:rsidR="00DB38A6" w:rsidRDefault="00DB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1A20"/>
    <w:rsid w:val="000B335E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4D23"/>
    <w:rsid w:val="00226B8A"/>
    <w:rsid w:val="0022746D"/>
    <w:rsid w:val="002278EE"/>
    <w:rsid w:val="00231FA4"/>
    <w:rsid w:val="00232399"/>
    <w:rsid w:val="00234E13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934DC"/>
    <w:rsid w:val="00393BA6"/>
    <w:rsid w:val="00396C0B"/>
    <w:rsid w:val="003A48AD"/>
    <w:rsid w:val="003B130F"/>
    <w:rsid w:val="003B1E5A"/>
    <w:rsid w:val="003B1FC3"/>
    <w:rsid w:val="003C0CD0"/>
    <w:rsid w:val="003C0FBE"/>
    <w:rsid w:val="003C1B2D"/>
    <w:rsid w:val="003C1D4A"/>
    <w:rsid w:val="003C4349"/>
    <w:rsid w:val="003C6774"/>
    <w:rsid w:val="003C6E25"/>
    <w:rsid w:val="003C7D8A"/>
    <w:rsid w:val="003D1889"/>
    <w:rsid w:val="003D2E96"/>
    <w:rsid w:val="003D47ED"/>
    <w:rsid w:val="003D4C26"/>
    <w:rsid w:val="003D685E"/>
    <w:rsid w:val="003D69D3"/>
    <w:rsid w:val="003D6D5E"/>
    <w:rsid w:val="003D7A8E"/>
    <w:rsid w:val="003D7DF1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3279"/>
    <w:rsid w:val="00443EBA"/>
    <w:rsid w:val="004461F5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54A2"/>
    <w:rsid w:val="005C655A"/>
    <w:rsid w:val="005D47A9"/>
    <w:rsid w:val="005D5AB6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D6CAE"/>
    <w:rsid w:val="007E03B5"/>
    <w:rsid w:val="007E40C1"/>
    <w:rsid w:val="007E51FC"/>
    <w:rsid w:val="007F0CDA"/>
    <w:rsid w:val="007F71E7"/>
    <w:rsid w:val="007F7902"/>
    <w:rsid w:val="00806DF2"/>
    <w:rsid w:val="00806EE7"/>
    <w:rsid w:val="00812E40"/>
    <w:rsid w:val="008151FB"/>
    <w:rsid w:val="00820182"/>
    <w:rsid w:val="00821498"/>
    <w:rsid w:val="0082208D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21C4"/>
    <w:rsid w:val="009F292C"/>
    <w:rsid w:val="009F3202"/>
    <w:rsid w:val="009F4B03"/>
    <w:rsid w:val="00A018FF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797"/>
    <w:rsid w:val="00EA7659"/>
    <w:rsid w:val="00EA7698"/>
    <w:rsid w:val="00EB31B1"/>
    <w:rsid w:val="00EB49E0"/>
    <w:rsid w:val="00EB792E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5B929-797F-4FE3-A257-3B640E6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29</cp:revision>
  <cp:lastPrinted>2015-07-13T17:17:00Z</cp:lastPrinted>
  <dcterms:created xsi:type="dcterms:W3CDTF">2015-07-06T00:40:00Z</dcterms:created>
  <dcterms:modified xsi:type="dcterms:W3CDTF">2015-07-13T17:23:00Z</dcterms:modified>
</cp:coreProperties>
</file>