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29" w:rsidRPr="00247480" w:rsidRDefault="00DB1D29" w:rsidP="00DB1D29">
      <w:pPr>
        <w:spacing w:line="360" w:lineRule="auto"/>
        <w:jc w:val="center"/>
        <w:rPr>
          <w:rFonts w:ascii="Arial" w:hAnsi="Arial" w:cs="Arial"/>
          <w:b/>
          <w:sz w:val="28"/>
          <w:lang w:val="es-ES"/>
        </w:rPr>
      </w:pPr>
      <w:bookmarkStart w:id="0" w:name="_GoBack"/>
      <w:bookmarkEnd w:id="0"/>
      <w:r w:rsidRPr="00247480">
        <w:rPr>
          <w:rFonts w:ascii="Arial" w:hAnsi="Arial" w:cs="Arial"/>
          <w:b/>
          <w:i/>
          <w:sz w:val="28"/>
          <w:lang w:val="es-ES"/>
        </w:rPr>
        <w:t xml:space="preserve">Ferias Delegacionales de la Transparencia en el Distrito Federal </w:t>
      </w:r>
    </w:p>
    <w:p w:rsidR="00DB1D29" w:rsidRPr="00247480" w:rsidRDefault="00DB1D29" w:rsidP="00DB1D29">
      <w:pPr>
        <w:tabs>
          <w:tab w:val="left" w:pos="2694"/>
        </w:tabs>
        <w:ind w:left="142" w:right="-20" w:hanging="142"/>
        <w:rPr>
          <w:rFonts w:ascii="Arial" w:eastAsia="Century Gothic" w:hAnsi="Arial" w:cs="Arial"/>
          <w:lang w:val="es-MX"/>
        </w:rPr>
      </w:pPr>
    </w:p>
    <w:p w:rsidR="00DB1D29" w:rsidRPr="00247480" w:rsidRDefault="00DB1D29" w:rsidP="00DB1D29">
      <w:pPr>
        <w:tabs>
          <w:tab w:val="left" w:pos="2694"/>
        </w:tabs>
        <w:spacing w:before="10" w:line="200" w:lineRule="exact"/>
        <w:rPr>
          <w:rFonts w:ascii="Arial" w:hAnsi="Arial" w:cs="Arial"/>
          <w:lang w:val="es-MX"/>
        </w:rPr>
      </w:pPr>
    </w:p>
    <w:p w:rsidR="00DB1D29" w:rsidRPr="00C006BE" w:rsidRDefault="00DB1D29" w:rsidP="00DB1D29">
      <w:pPr>
        <w:tabs>
          <w:tab w:val="left" w:pos="2694"/>
        </w:tabs>
        <w:spacing w:line="360" w:lineRule="auto"/>
        <w:ind w:left="142" w:right="68"/>
        <w:jc w:val="both"/>
        <w:rPr>
          <w:rFonts w:ascii="Arial" w:eastAsia="Century Gothic" w:hAnsi="Arial" w:cs="Arial"/>
          <w:color w:val="231F20"/>
          <w:lang w:val="es-MX"/>
        </w:rPr>
      </w:pPr>
      <w:r>
        <w:rPr>
          <w:rFonts w:ascii="Arial" w:eastAsia="Century Gothic" w:hAnsi="Arial" w:cs="Arial"/>
          <w:color w:val="231F20"/>
          <w:lang w:val="es-MX"/>
        </w:rPr>
        <w:t xml:space="preserve">Las </w:t>
      </w:r>
      <w:r w:rsidRPr="00C006BE">
        <w:rPr>
          <w:rFonts w:ascii="Arial" w:eastAsia="Century Gothic" w:hAnsi="Arial" w:cs="Arial"/>
          <w:color w:val="231F20"/>
          <w:lang w:val="es-MX"/>
        </w:rPr>
        <w:t>Ferias Delegacionales</w:t>
      </w:r>
      <w:r>
        <w:rPr>
          <w:rFonts w:ascii="Arial" w:eastAsia="Century Gothic" w:hAnsi="Arial" w:cs="Arial"/>
          <w:color w:val="231F20"/>
          <w:lang w:val="es-MX"/>
        </w:rPr>
        <w:t xml:space="preserve"> por la Transparencia tuvieron como</w:t>
      </w:r>
      <w:r w:rsidRPr="00C006BE">
        <w:rPr>
          <w:rFonts w:ascii="Arial" w:eastAsia="Century Gothic" w:hAnsi="Arial" w:cs="Arial"/>
          <w:color w:val="231F20"/>
          <w:lang w:val="es-MX"/>
        </w:rPr>
        <w:t xml:space="preserve"> finalidad principal </w:t>
      </w:r>
      <w:r>
        <w:rPr>
          <w:rFonts w:ascii="Arial" w:eastAsia="Century Gothic" w:hAnsi="Arial" w:cs="Arial"/>
          <w:color w:val="231F20"/>
          <w:lang w:val="es-MX"/>
        </w:rPr>
        <w:t>la territorialización de los derechos tutelados por el InfoDF</w:t>
      </w:r>
      <w:r w:rsidRPr="00C006BE">
        <w:rPr>
          <w:rFonts w:ascii="Arial" w:eastAsia="Century Gothic" w:hAnsi="Arial" w:cs="Arial"/>
          <w:color w:val="231F20"/>
          <w:lang w:val="es-MX"/>
        </w:rPr>
        <w:t xml:space="preserve">, es decir, acercar a la ciudadanía </w:t>
      </w:r>
      <w:r>
        <w:rPr>
          <w:rFonts w:ascii="Arial" w:eastAsia="Century Gothic" w:hAnsi="Arial" w:cs="Arial"/>
          <w:color w:val="231F20"/>
          <w:lang w:val="es-MX"/>
        </w:rPr>
        <w:t>el acceso a la información pública</w:t>
      </w:r>
      <w:r w:rsidRPr="00C006BE">
        <w:rPr>
          <w:rFonts w:ascii="Arial" w:eastAsia="Century Gothic" w:hAnsi="Arial" w:cs="Arial"/>
          <w:color w:val="231F20"/>
          <w:lang w:val="es-MX"/>
        </w:rPr>
        <w:t xml:space="preserve"> y </w:t>
      </w:r>
      <w:r>
        <w:rPr>
          <w:rFonts w:ascii="Arial" w:eastAsia="Century Gothic" w:hAnsi="Arial" w:cs="Arial"/>
          <w:color w:val="231F20"/>
          <w:lang w:val="es-MX"/>
        </w:rPr>
        <w:t>la proyección de los datos personales, mediante t</w:t>
      </w:r>
      <w:r w:rsidRPr="00C006BE">
        <w:rPr>
          <w:rFonts w:ascii="Arial" w:eastAsia="Century Gothic" w:hAnsi="Arial" w:cs="Arial"/>
          <w:color w:val="231F20"/>
          <w:lang w:val="es-MX"/>
        </w:rPr>
        <w:t xml:space="preserve">alleres, dirigidos a los </w:t>
      </w:r>
      <w:r>
        <w:rPr>
          <w:rFonts w:ascii="Arial" w:eastAsia="Century Gothic" w:hAnsi="Arial" w:cs="Arial"/>
          <w:color w:val="231F20"/>
          <w:lang w:val="es-MX"/>
        </w:rPr>
        <w:t>integrantes de los Comités C</w:t>
      </w:r>
      <w:r w:rsidRPr="00C006BE">
        <w:rPr>
          <w:rFonts w:ascii="Arial" w:eastAsia="Century Gothic" w:hAnsi="Arial" w:cs="Arial"/>
          <w:color w:val="231F20"/>
          <w:lang w:val="es-MX"/>
        </w:rPr>
        <w:t>iudadanos</w:t>
      </w:r>
      <w:r>
        <w:rPr>
          <w:rFonts w:ascii="Arial" w:eastAsia="Century Gothic" w:hAnsi="Arial" w:cs="Arial"/>
          <w:color w:val="231F20"/>
          <w:lang w:val="es-MX"/>
        </w:rPr>
        <w:t xml:space="preserve"> y Consejos de los Pueblos, además de la realización de Ferias.</w:t>
      </w:r>
    </w:p>
    <w:p w:rsidR="00DB1D29" w:rsidRPr="00C006BE" w:rsidRDefault="00DB1D29" w:rsidP="00DB1D29">
      <w:pPr>
        <w:spacing w:line="206" w:lineRule="exact"/>
        <w:ind w:right="3240"/>
        <w:jc w:val="both"/>
        <w:rPr>
          <w:rFonts w:ascii="Arial" w:eastAsia="Century Gothic" w:hAnsi="Arial" w:cs="Arial"/>
          <w:color w:val="231F20"/>
          <w:sz w:val="17"/>
          <w:szCs w:val="17"/>
          <w:lang w:val="es-MX"/>
        </w:rPr>
      </w:pPr>
      <w:r w:rsidRPr="00C006BE">
        <w:rPr>
          <w:rFonts w:ascii="Arial" w:eastAsia="Century Gothic" w:hAnsi="Arial" w:cs="Arial"/>
          <w:color w:val="231F20"/>
          <w:sz w:val="17"/>
          <w:szCs w:val="17"/>
          <w:lang w:val="es-MX"/>
        </w:rPr>
        <w:t xml:space="preserve">                                  </w:t>
      </w:r>
    </w:p>
    <w:p w:rsidR="00DB1D29" w:rsidRPr="00C006BE" w:rsidRDefault="00DB1D29" w:rsidP="00DB1D29">
      <w:pPr>
        <w:spacing w:line="360" w:lineRule="auto"/>
        <w:ind w:left="142" w:right="68"/>
        <w:jc w:val="both"/>
        <w:rPr>
          <w:rFonts w:ascii="Arial" w:eastAsia="Century Gothic" w:hAnsi="Arial" w:cs="Arial"/>
          <w:color w:val="231F20"/>
          <w:lang w:val="es-MX"/>
        </w:rPr>
      </w:pPr>
      <w:r w:rsidRPr="00C006BE">
        <w:rPr>
          <w:rFonts w:ascii="Arial" w:eastAsia="Century Gothic" w:hAnsi="Arial" w:cs="Arial"/>
          <w:color w:val="231F20"/>
          <w:lang w:val="es-MX"/>
        </w:rPr>
        <w:t>En las Ferias Delegacionales por la Transparencia participaron 42 instituciones públicas de índole local y organismos de la sociedad civil, entre ellas 6 Secretarías del Gobierno del Distrito Federal, 15 Entes Paraestatales, 2 Órganos de carácter Judicial, 3 Órganos Autónomos, 14 Programas y/o Áreas Internas de las Secretarías e Instituciones del Gobierno del Distrito Federal y 2 Asociaciones de la Sociedad Civil.</w:t>
      </w:r>
    </w:p>
    <w:p w:rsidR="00DB1D29" w:rsidRDefault="00DB1D29" w:rsidP="00DB1D29">
      <w:pPr>
        <w:spacing w:line="360" w:lineRule="auto"/>
        <w:jc w:val="center"/>
        <w:rPr>
          <w:rFonts w:ascii="Arial" w:hAnsi="Arial" w:cs="Arial"/>
          <w:b/>
          <w:szCs w:val="14"/>
          <w:lang w:val="es-ES"/>
        </w:rPr>
      </w:pPr>
    </w:p>
    <w:p w:rsidR="00DB1D29" w:rsidRDefault="00DB1D29" w:rsidP="00DB1D29">
      <w:pPr>
        <w:spacing w:line="360" w:lineRule="auto"/>
        <w:rPr>
          <w:rFonts w:ascii="Arial" w:hAnsi="Arial" w:cs="Arial"/>
          <w:sz w:val="14"/>
          <w:szCs w:val="14"/>
          <w:lang w:val="es-ES"/>
        </w:rPr>
      </w:pPr>
      <w:r>
        <w:rPr>
          <w:rFonts w:ascii="Arial" w:eastAsia="Century Gothic" w:hAnsi="Arial" w:cs="Arial"/>
          <w:color w:val="231F20"/>
          <w:sz w:val="17"/>
          <w:szCs w:val="17"/>
          <w:lang w:val="es-MX"/>
        </w:rPr>
        <w:t xml:space="preserve">                                       </w:t>
      </w:r>
    </w:p>
    <w:p w:rsidR="00DB1D29" w:rsidRDefault="00DB1D29" w:rsidP="00DB1D29">
      <w:pPr>
        <w:spacing w:line="360" w:lineRule="auto"/>
        <w:ind w:right="68"/>
        <w:jc w:val="both"/>
        <w:rPr>
          <w:rFonts w:ascii="Arial" w:eastAsia="Century Gothic" w:hAnsi="Arial" w:cs="Arial"/>
          <w:color w:val="231F20"/>
          <w:lang w:val="es-MX"/>
        </w:rPr>
      </w:pPr>
      <w:r>
        <w:rPr>
          <w:rFonts w:ascii="Arial" w:eastAsia="Century Gothic" w:hAnsi="Arial" w:cs="Arial"/>
          <w:color w:val="231F20"/>
          <w:lang w:val="es-MX"/>
        </w:rPr>
        <w:t>A través de las Ferias</w:t>
      </w:r>
      <w:r w:rsidRPr="00C006BE">
        <w:rPr>
          <w:rFonts w:ascii="Arial" w:eastAsia="Century Gothic" w:hAnsi="Arial" w:cs="Arial"/>
          <w:color w:val="231F20"/>
          <w:lang w:val="es-MX"/>
        </w:rPr>
        <w:t xml:space="preserve"> las instancias participantes informaron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a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la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ciudadanía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sobre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las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principales</w:t>
      </w:r>
      <w:r w:rsidRPr="00C006BE">
        <w:rPr>
          <w:rFonts w:ascii="Arial" w:eastAsia="Century Gothic" w:hAnsi="Arial" w:cs="Arial"/>
          <w:color w:val="231F20"/>
          <w:spacing w:val="-2"/>
          <w:lang w:val="es-MX"/>
        </w:rPr>
        <w:t xml:space="preserve"> </w:t>
      </w:r>
      <w:r w:rsidRPr="00C006BE">
        <w:rPr>
          <w:rFonts w:ascii="Arial" w:eastAsia="Century Gothic" w:hAnsi="Arial" w:cs="Arial"/>
          <w:color w:val="231F20"/>
          <w:lang w:val="es-MX"/>
        </w:rPr>
        <w:t>acci</w:t>
      </w:r>
      <w:r>
        <w:rPr>
          <w:rFonts w:ascii="Arial" w:eastAsia="Century Gothic" w:hAnsi="Arial" w:cs="Arial"/>
          <w:color w:val="231F20"/>
          <w:lang w:val="es-MX"/>
        </w:rPr>
        <w:t>ones que efectúan en favor del derecho de acceso a la información pública y la protección de datos p</w:t>
      </w:r>
      <w:r w:rsidRPr="00C006BE">
        <w:rPr>
          <w:rFonts w:ascii="Arial" w:eastAsia="Century Gothic" w:hAnsi="Arial" w:cs="Arial"/>
          <w:color w:val="231F20"/>
          <w:lang w:val="es-MX"/>
        </w:rPr>
        <w:t>ersonales, así mismo realizaron actividades lúdicas, artísticas y culturales dirigidas al público en general, para reforzar el conocimiento de ambos derechos.</w:t>
      </w:r>
    </w:p>
    <w:p w:rsidR="00DB1D29" w:rsidRDefault="00DB1D29" w:rsidP="00DB1D29">
      <w:pPr>
        <w:spacing w:line="360" w:lineRule="auto"/>
        <w:ind w:right="-74"/>
        <w:jc w:val="both"/>
        <w:rPr>
          <w:rFonts w:ascii="Arial" w:eastAsia="Century Gothic" w:hAnsi="Arial" w:cs="Arial"/>
          <w:lang w:val="es-MX"/>
        </w:rPr>
      </w:pPr>
    </w:p>
    <w:p w:rsidR="00DB1D29" w:rsidRPr="00C006BE" w:rsidRDefault="00DB1D29" w:rsidP="00DB1D29">
      <w:pPr>
        <w:spacing w:line="360" w:lineRule="auto"/>
        <w:ind w:right="-74"/>
        <w:jc w:val="both"/>
        <w:rPr>
          <w:rFonts w:ascii="Arial" w:eastAsia="Century Gothic" w:hAnsi="Arial" w:cs="Arial"/>
          <w:lang w:val="es-MX"/>
        </w:rPr>
      </w:pPr>
      <w:r>
        <w:rPr>
          <w:rFonts w:ascii="Arial" w:eastAsia="Century Gothic" w:hAnsi="Arial" w:cs="Arial"/>
          <w:lang w:val="es-MX"/>
        </w:rPr>
        <w:t>D</w:t>
      </w:r>
      <w:r w:rsidRPr="00C006BE">
        <w:rPr>
          <w:rFonts w:ascii="Arial" w:eastAsia="Century Gothic" w:hAnsi="Arial" w:cs="Arial"/>
          <w:lang w:val="es-MX"/>
        </w:rPr>
        <w:t>urante el desarrollo de cada Feria se exhibieron vehículos y equipamiento de la Secretaría de Seguridad Pública</w:t>
      </w:r>
      <w:r>
        <w:rPr>
          <w:rFonts w:ascii="Arial" w:eastAsia="Century Gothic" w:hAnsi="Arial" w:cs="Arial"/>
          <w:lang w:val="es-MX"/>
        </w:rPr>
        <w:t>:</w:t>
      </w:r>
      <w:r w:rsidRPr="00C006BE">
        <w:rPr>
          <w:rFonts w:ascii="Arial" w:eastAsia="Century Gothic" w:hAnsi="Arial" w:cs="Arial"/>
          <w:lang w:val="es-MX"/>
        </w:rPr>
        <w:t xml:space="preserve"> patrullas, ambulancias, unidades de rescate, unidades motorizadas, la unidad de detección de artefactos explosivos, equipo antibombas y la torre táctica de la PBI; por parte de la Secretaría de Salud est</w:t>
      </w:r>
      <w:r>
        <w:rPr>
          <w:rFonts w:ascii="Arial" w:eastAsia="Century Gothic" w:hAnsi="Arial" w:cs="Arial"/>
          <w:lang w:val="es-MX"/>
        </w:rPr>
        <w:t xml:space="preserve">uvieron presentes </w:t>
      </w:r>
      <w:r w:rsidRPr="00C006BE">
        <w:rPr>
          <w:rFonts w:ascii="Arial" w:eastAsia="Century Gothic" w:hAnsi="Arial" w:cs="Arial"/>
          <w:lang w:val="es-MX"/>
        </w:rPr>
        <w:t>dos Unidades Médicas Móviles (Medibus)</w:t>
      </w:r>
      <w:r>
        <w:rPr>
          <w:rFonts w:ascii="Arial" w:eastAsia="Century Gothic" w:hAnsi="Arial" w:cs="Arial"/>
          <w:lang w:val="es-MX"/>
        </w:rPr>
        <w:t>,</w:t>
      </w:r>
      <w:r w:rsidRPr="00C006BE">
        <w:rPr>
          <w:rFonts w:ascii="Arial" w:eastAsia="Century Gothic" w:hAnsi="Arial" w:cs="Arial"/>
          <w:lang w:val="es-MX"/>
        </w:rPr>
        <w:t xml:space="preserve"> en las cuales se brindaron consultas médicas gratuitas, mastografías y muestras de laboratorio.</w:t>
      </w:r>
    </w:p>
    <w:p w:rsidR="00DB1D29" w:rsidRPr="00C006BE" w:rsidRDefault="00DB1D29" w:rsidP="00DB1D29">
      <w:pPr>
        <w:spacing w:before="29"/>
        <w:ind w:left="1821" w:right="3193"/>
        <w:jc w:val="both"/>
        <w:rPr>
          <w:rFonts w:ascii="Arial" w:eastAsia="Century Gothic" w:hAnsi="Arial" w:cs="Arial"/>
          <w:sz w:val="17"/>
          <w:szCs w:val="17"/>
          <w:lang w:val="es-MX"/>
        </w:rPr>
      </w:pPr>
    </w:p>
    <w:p w:rsidR="00DB1D29" w:rsidRDefault="00DB1D29" w:rsidP="00DB1D29">
      <w:pPr>
        <w:spacing w:before="29"/>
        <w:ind w:left="1134" w:right="3193" w:firstLine="426"/>
        <w:jc w:val="both"/>
        <w:rPr>
          <w:rFonts w:ascii="Arial" w:eastAsia="Century Gothic" w:hAnsi="Arial" w:cs="Arial"/>
          <w:sz w:val="17"/>
          <w:szCs w:val="17"/>
          <w:lang w:val="es-MX"/>
        </w:rPr>
      </w:pPr>
    </w:p>
    <w:p w:rsidR="00DB1D29" w:rsidRDefault="00DB1D29" w:rsidP="00DB1D29">
      <w:pPr>
        <w:spacing w:before="29"/>
        <w:ind w:left="1134" w:right="3193" w:firstLine="426"/>
        <w:jc w:val="both"/>
        <w:rPr>
          <w:rFonts w:ascii="Arial" w:eastAsia="Century Gothic" w:hAnsi="Arial" w:cs="Arial"/>
          <w:sz w:val="17"/>
          <w:szCs w:val="17"/>
          <w:lang w:val="es-MX"/>
        </w:rPr>
      </w:pPr>
    </w:p>
    <w:p w:rsidR="00DB1D29" w:rsidRDefault="00DB1D29" w:rsidP="00DB1D29">
      <w:pPr>
        <w:spacing w:before="29"/>
        <w:ind w:left="1134" w:right="3193" w:firstLine="426"/>
        <w:jc w:val="both"/>
        <w:rPr>
          <w:rFonts w:ascii="Arial" w:eastAsia="Century Gothic" w:hAnsi="Arial" w:cs="Arial"/>
          <w:sz w:val="17"/>
          <w:szCs w:val="17"/>
          <w:lang w:val="es-MX"/>
        </w:rPr>
      </w:pPr>
    </w:p>
    <w:p w:rsidR="00DB1D29" w:rsidRDefault="00DB1D29" w:rsidP="00DB1D29">
      <w:pPr>
        <w:spacing w:before="29"/>
        <w:ind w:left="1134" w:right="3193" w:firstLine="426"/>
        <w:jc w:val="both"/>
        <w:rPr>
          <w:rFonts w:ascii="Arial" w:eastAsia="Century Gothic" w:hAnsi="Arial" w:cs="Arial"/>
          <w:sz w:val="17"/>
          <w:szCs w:val="17"/>
          <w:lang w:val="es-MX"/>
        </w:rPr>
      </w:pPr>
    </w:p>
    <w:p w:rsidR="00DB1D29" w:rsidRPr="00C006BE" w:rsidRDefault="00DB1D29" w:rsidP="00DB1D29">
      <w:pPr>
        <w:spacing w:before="29"/>
        <w:ind w:left="1134" w:right="3193" w:firstLine="426"/>
        <w:jc w:val="both"/>
        <w:rPr>
          <w:rFonts w:ascii="Arial" w:eastAsia="Century Gothic" w:hAnsi="Arial" w:cs="Arial"/>
          <w:sz w:val="17"/>
          <w:szCs w:val="17"/>
          <w:lang w:val="es-MX"/>
        </w:rPr>
      </w:pPr>
    </w:p>
    <w:p w:rsidR="00DB1D29" w:rsidRDefault="00DB1D29" w:rsidP="00DB1D29">
      <w:pPr>
        <w:spacing w:line="360" w:lineRule="auto"/>
        <w:jc w:val="center"/>
        <w:rPr>
          <w:rFonts w:ascii="Arial" w:hAnsi="Arial" w:cs="Arial"/>
          <w:sz w:val="14"/>
          <w:szCs w:val="14"/>
          <w:lang w:val="es-ES"/>
        </w:rPr>
      </w:pPr>
    </w:p>
    <w:p w:rsidR="00DB1D29" w:rsidRDefault="00DB1D29" w:rsidP="00DB1D29">
      <w:pPr>
        <w:spacing w:line="360" w:lineRule="auto"/>
        <w:rPr>
          <w:rFonts w:ascii="Arial" w:eastAsia="Century Gothic" w:hAnsi="Arial" w:cs="Arial"/>
          <w:b/>
          <w:lang w:val="es-MX"/>
        </w:rPr>
      </w:pPr>
      <w:r>
        <w:rPr>
          <w:rFonts w:ascii="Arial" w:eastAsia="Century Gothic" w:hAnsi="Arial" w:cs="Arial"/>
          <w:b/>
          <w:lang w:val="es-MX"/>
        </w:rPr>
        <w:lastRenderedPageBreak/>
        <w:t>Participación en Ferias Temáticas</w:t>
      </w:r>
    </w:p>
    <w:p w:rsidR="00DB1D29" w:rsidRPr="00691DCC" w:rsidRDefault="00DB1D29" w:rsidP="00DB1D29">
      <w:pPr>
        <w:spacing w:line="360" w:lineRule="auto"/>
        <w:jc w:val="center"/>
        <w:rPr>
          <w:rFonts w:ascii="Arial" w:hAnsi="Arial" w:cs="Arial"/>
          <w:sz w:val="14"/>
          <w:szCs w:val="14"/>
          <w:lang w:val="es-ES"/>
        </w:rPr>
      </w:pPr>
    </w:p>
    <w:p w:rsidR="00DB1D29" w:rsidRPr="00C006BE" w:rsidRDefault="00DB1D29" w:rsidP="00DB1D29">
      <w:pPr>
        <w:tabs>
          <w:tab w:val="left" w:pos="0"/>
        </w:tabs>
        <w:spacing w:line="480" w:lineRule="auto"/>
        <w:ind w:right="-73"/>
        <w:jc w:val="both"/>
        <w:rPr>
          <w:rFonts w:ascii="Arial" w:eastAsia="Century Gothic" w:hAnsi="Arial" w:cs="Arial"/>
          <w:lang w:val="es-MX"/>
        </w:rPr>
      </w:pPr>
      <w:r w:rsidRPr="00C006BE">
        <w:rPr>
          <w:rFonts w:ascii="Arial" w:eastAsia="Century Gothic" w:hAnsi="Arial" w:cs="Arial"/>
          <w:lang w:val="es-MX"/>
        </w:rPr>
        <w:t>En la programación de actividades estratégicas correspondientes al plan de trabajo del 2013 se con</w:t>
      </w:r>
      <w:r>
        <w:rPr>
          <w:rFonts w:ascii="Arial" w:eastAsia="Century Gothic" w:hAnsi="Arial" w:cs="Arial"/>
          <w:lang w:val="es-MX"/>
        </w:rPr>
        <w:t>templó la participación del Info</w:t>
      </w:r>
      <w:r w:rsidRPr="00C006BE">
        <w:rPr>
          <w:rFonts w:ascii="Arial" w:eastAsia="Century Gothic" w:hAnsi="Arial" w:cs="Arial"/>
          <w:lang w:val="es-MX"/>
        </w:rPr>
        <w:t>DF en 4 Ferias Temátic</w:t>
      </w:r>
      <w:r>
        <w:rPr>
          <w:rFonts w:ascii="Arial" w:eastAsia="Century Gothic" w:hAnsi="Arial" w:cs="Arial"/>
          <w:lang w:val="es-MX"/>
        </w:rPr>
        <w:t>as realizadas por los diversos E</w:t>
      </w:r>
      <w:r w:rsidRPr="00C006BE">
        <w:rPr>
          <w:rFonts w:ascii="Arial" w:eastAsia="Century Gothic" w:hAnsi="Arial" w:cs="Arial"/>
          <w:lang w:val="es-MX"/>
        </w:rPr>
        <w:t>ntes del Gobierno del Distrito Federal, a fin de promover en los diversos sectores de la población el DAIP y el DPDP, sin embargo rebasamos la meta estimada al participar en 9 Ferias Temáticas logrando informar, atender y promover ambos derechos.</w:t>
      </w:r>
    </w:p>
    <w:p w:rsidR="00DB1D29" w:rsidRPr="00C006BE" w:rsidRDefault="00DB1D29" w:rsidP="00DB1D29">
      <w:pPr>
        <w:tabs>
          <w:tab w:val="left" w:pos="0"/>
        </w:tabs>
        <w:spacing w:line="480" w:lineRule="auto"/>
        <w:ind w:right="-73"/>
        <w:jc w:val="both"/>
        <w:rPr>
          <w:rFonts w:ascii="Arial" w:eastAsia="Century Gothic" w:hAnsi="Arial" w:cs="Arial"/>
          <w:lang w:val="es-MX"/>
        </w:rPr>
      </w:pPr>
      <w:r w:rsidRPr="00C006BE">
        <w:rPr>
          <w:rFonts w:ascii="Arial" w:eastAsia="Century Gothic" w:hAnsi="Arial" w:cs="Arial"/>
          <w:lang w:val="es-MX"/>
        </w:rPr>
        <w:t xml:space="preserve">Nuestra </w:t>
      </w:r>
      <w:r>
        <w:rPr>
          <w:rFonts w:ascii="Arial" w:eastAsia="Century Gothic" w:hAnsi="Arial" w:cs="Arial"/>
          <w:lang w:val="es-MX"/>
        </w:rPr>
        <w:t>intervención</w:t>
      </w:r>
      <w:r w:rsidRPr="00C006BE">
        <w:rPr>
          <w:rFonts w:ascii="Arial" w:eastAsia="Century Gothic" w:hAnsi="Arial" w:cs="Arial"/>
          <w:lang w:val="es-MX"/>
        </w:rPr>
        <w:t xml:space="preserve"> en estos eventos se caracter</w:t>
      </w:r>
      <w:r>
        <w:rPr>
          <w:rFonts w:ascii="Arial" w:eastAsia="Century Gothic" w:hAnsi="Arial" w:cs="Arial"/>
          <w:lang w:val="es-MX"/>
        </w:rPr>
        <w:t>izó por la orientación hacia la ciudadanía</w:t>
      </w:r>
      <w:r w:rsidRPr="00C006BE">
        <w:rPr>
          <w:rFonts w:ascii="Arial" w:eastAsia="Century Gothic" w:hAnsi="Arial" w:cs="Arial"/>
          <w:lang w:val="es-MX"/>
        </w:rPr>
        <w:t xml:space="preserve"> a fin de que adquirieran y fortalecieran los elementos y habilidades necesarias para generar, de una manera adecuada, las solici</w:t>
      </w:r>
      <w:r>
        <w:rPr>
          <w:rFonts w:ascii="Arial" w:eastAsia="Century Gothic" w:hAnsi="Arial" w:cs="Arial"/>
          <w:lang w:val="es-MX"/>
        </w:rPr>
        <w:t>tudes de información hacia los Entes Obligados</w:t>
      </w:r>
      <w:r w:rsidRPr="00C006BE">
        <w:rPr>
          <w:rFonts w:ascii="Arial" w:eastAsia="Century Gothic" w:hAnsi="Arial" w:cs="Arial"/>
          <w:lang w:val="es-MX"/>
        </w:rPr>
        <w:t>.</w:t>
      </w:r>
    </w:p>
    <w:p w:rsidR="00DB1D29" w:rsidRPr="00C006BE" w:rsidRDefault="00DB1D29" w:rsidP="00DB1D29">
      <w:pPr>
        <w:tabs>
          <w:tab w:val="left" w:pos="0"/>
        </w:tabs>
        <w:spacing w:line="480" w:lineRule="auto"/>
        <w:ind w:right="-73"/>
        <w:jc w:val="both"/>
        <w:rPr>
          <w:rFonts w:ascii="Arial" w:eastAsia="Century Gothic" w:hAnsi="Arial" w:cs="Arial"/>
          <w:lang w:val="es-MX"/>
        </w:rPr>
      </w:pPr>
    </w:p>
    <w:p w:rsidR="00DB1D29" w:rsidRPr="00C006BE" w:rsidRDefault="00DB1D29" w:rsidP="00DB1D29">
      <w:pPr>
        <w:tabs>
          <w:tab w:val="left" w:pos="0"/>
        </w:tabs>
        <w:spacing w:line="480" w:lineRule="auto"/>
        <w:ind w:right="-73"/>
        <w:jc w:val="both"/>
        <w:rPr>
          <w:rFonts w:ascii="Arial" w:eastAsia="Century Gothic" w:hAnsi="Arial" w:cs="Arial"/>
          <w:lang w:val="es-MX"/>
        </w:rPr>
      </w:pPr>
      <w:r w:rsidRPr="00C006BE">
        <w:rPr>
          <w:rFonts w:ascii="Arial" w:eastAsia="Century Gothic" w:hAnsi="Arial" w:cs="Arial"/>
          <w:lang w:val="es-MX"/>
        </w:rPr>
        <w:t xml:space="preserve">Como estrategia de consolidación del conocimiento y aplicación de los DAIP y DPDP en la ciudadanía efectuamos actividades lúdicas y recreativas durante el desarrollo de los eventos. </w:t>
      </w:r>
    </w:p>
    <w:p w:rsidR="00C355CD" w:rsidRDefault="005E0276"/>
    <w:sectPr w:rsidR="00C35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615"/>
    <w:multiLevelType w:val="hybridMultilevel"/>
    <w:tmpl w:val="BF9C4998"/>
    <w:lvl w:ilvl="0" w:tplc="F606C94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92" w:hanging="360"/>
      </w:pPr>
    </w:lvl>
    <w:lvl w:ilvl="2" w:tplc="080A001B" w:tentative="1">
      <w:start w:val="1"/>
      <w:numFmt w:val="lowerRoman"/>
      <w:lvlText w:val="%3."/>
      <w:lvlJc w:val="right"/>
      <w:pPr>
        <w:ind w:left="5912" w:hanging="180"/>
      </w:pPr>
    </w:lvl>
    <w:lvl w:ilvl="3" w:tplc="080A000F" w:tentative="1">
      <w:start w:val="1"/>
      <w:numFmt w:val="decimal"/>
      <w:lvlText w:val="%4."/>
      <w:lvlJc w:val="left"/>
      <w:pPr>
        <w:ind w:left="6632" w:hanging="360"/>
      </w:pPr>
    </w:lvl>
    <w:lvl w:ilvl="4" w:tplc="080A0019" w:tentative="1">
      <w:start w:val="1"/>
      <w:numFmt w:val="lowerLetter"/>
      <w:lvlText w:val="%5."/>
      <w:lvlJc w:val="left"/>
      <w:pPr>
        <w:ind w:left="7352" w:hanging="360"/>
      </w:pPr>
    </w:lvl>
    <w:lvl w:ilvl="5" w:tplc="080A001B" w:tentative="1">
      <w:start w:val="1"/>
      <w:numFmt w:val="lowerRoman"/>
      <w:lvlText w:val="%6."/>
      <w:lvlJc w:val="right"/>
      <w:pPr>
        <w:ind w:left="8072" w:hanging="180"/>
      </w:pPr>
    </w:lvl>
    <w:lvl w:ilvl="6" w:tplc="080A000F" w:tentative="1">
      <w:start w:val="1"/>
      <w:numFmt w:val="decimal"/>
      <w:lvlText w:val="%7."/>
      <w:lvlJc w:val="left"/>
      <w:pPr>
        <w:ind w:left="8792" w:hanging="360"/>
      </w:pPr>
    </w:lvl>
    <w:lvl w:ilvl="7" w:tplc="080A0019" w:tentative="1">
      <w:start w:val="1"/>
      <w:numFmt w:val="lowerLetter"/>
      <w:lvlText w:val="%8."/>
      <w:lvlJc w:val="left"/>
      <w:pPr>
        <w:ind w:left="9512" w:hanging="360"/>
      </w:pPr>
    </w:lvl>
    <w:lvl w:ilvl="8" w:tplc="08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777930AD"/>
    <w:multiLevelType w:val="hybridMultilevel"/>
    <w:tmpl w:val="3D86888C"/>
    <w:lvl w:ilvl="0" w:tplc="8278DA4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9"/>
    <w:rsid w:val="001A6668"/>
    <w:rsid w:val="005E0276"/>
    <w:rsid w:val="0089565D"/>
    <w:rsid w:val="00D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Listamedia1-nfasis5">
    <w:name w:val="Medium List 1 Accent 5"/>
    <w:basedOn w:val="Tablaconefectos3D3"/>
    <w:uiPriority w:val="65"/>
    <w:rsid w:val="00DB1D29"/>
    <w:pPr>
      <w:widowControl w:val="0"/>
    </w:pPr>
    <w:rPr>
      <w:color w:val="000000" w:themeColor="text1"/>
      <w:sz w:val="20"/>
      <w:szCs w:val="20"/>
      <w:lang w:val="es-ES_tradnl"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bottom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5">
    <w:name w:val="Light Shading Accent 5"/>
    <w:basedOn w:val="Tablanormal"/>
    <w:uiPriority w:val="60"/>
    <w:rsid w:val="00DB1D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B1D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1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29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2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Listamedia1-nfasis5">
    <w:name w:val="Medium List 1 Accent 5"/>
    <w:basedOn w:val="Tablaconefectos3D3"/>
    <w:uiPriority w:val="65"/>
    <w:rsid w:val="00DB1D29"/>
    <w:pPr>
      <w:widowControl w:val="0"/>
    </w:pPr>
    <w:rPr>
      <w:color w:val="000000" w:themeColor="text1"/>
      <w:sz w:val="20"/>
      <w:szCs w:val="20"/>
      <w:lang w:val="es-ES_tradnl" w:eastAsia="es-MX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bottom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5">
    <w:name w:val="Light Shading Accent 5"/>
    <w:basedOn w:val="Tablanormal"/>
    <w:uiPriority w:val="60"/>
    <w:rsid w:val="00DB1D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B1D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1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2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Miriam.Bahena</dc:creator>
  <cp:lastModifiedBy>Ma. Fernanda.Garcia</cp:lastModifiedBy>
  <cp:revision>2</cp:revision>
  <dcterms:created xsi:type="dcterms:W3CDTF">2014-03-21T17:23:00Z</dcterms:created>
  <dcterms:modified xsi:type="dcterms:W3CDTF">2014-03-21T17:23:00Z</dcterms:modified>
</cp:coreProperties>
</file>