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BF" w:rsidRPr="00C006BE" w:rsidRDefault="003A09BF" w:rsidP="003A09BF">
      <w:pPr>
        <w:tabs>
          <w:tab w:val="left" w:pos="567"/>
        </w:tabs>
        <w:spacing w:line="360" w:lineRule="auto"/>
        <w:ind w:right="-20"/>
        <w:rPr>
          <w:rFonts w:ascii="Arial" w:eastAsia="Century Gothic" w:hAnsi="Arial" w:cs="Arial"/>
          <w:lang w:val="es-MX"/>
        </w:rPr>
      </w:pPr>
      <w:bookmarkStart w:id="0" w:name="_GoBack"/>
      <w:bookmarkEnd w:id="0"/>
      <w:r w:rsidRPr="00C006BE">
        <w:rPr>
          <w:rFonts w:ascii="Arial" w:eastAsia="Century Gothic" w:hAnsi="Arial" w:cs="Arial"/>
          <w:b/>
          <w:bCs/>
          <w:color w:val="231F20"/>
          <w:lang w:val="es-MX"/>
        </w:rPr>
        <w:t>Promoción de la Transparencia y Rendición de Cuentas</w:t>
      </w:r>
    </w:p>
    <w:p w:rsidR="003A09BF" w:rsidRPr="00C006BE" w:rsidRDefault="003A09BF" w:rsidP="003A09BF">
      <w:pPr>
        <w:tabs>
          <w:tab w:val="left" w:pos="567"/>
        </w:tabs>
        <w:spacing w:line="360" w:lineRule="auto"/>
        <w:rPr>
          <w:rFonts w:ascii="Arial" w:hAnsi="Arial" w:cs="Arial"/>
          <w:lang w:val="es-MX"/>
        </w:rPr>
      </w:pPr>
    </w:p>
    <w:p w:rsidR="003A09BF" w:rsidRPr="00C006BE" w:rsidRDefault="003A09BF" w:rsidP="003A09BF">
      <w:pPr>
        <w:tabs>
          <w:tab w:val="left" w:pos="567"/>
        </w:tabs>
        <w:spacing w:line="360" w:lineRule="auto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>
        <w:rPr>
          <w:rFonts w:ascii="Arial" w:eastAsia="Century Gothic" w:hAnsi="Arial" w:cs="Arial"/>
          <w:color w:val="231F20"/>
          <w:w w:val="111"/>
          <w:lang w:val="es-MX"/>
        </w:rPr>
        <w:t>Para el Info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DF es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de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suma importancia el impulsar acciones de promoción de los D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AIP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y de la P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DP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y dirigirlas a los diversos sectores de la población,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es por ello que durante el 2013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se implementaron dos líneas estratégicas para alcanz</w:t>
      </w:r>
      <w:r>
        <w:rPr>
          <w:rFonts w:ascii="Arial" w:eastAsia="Century Gothic" w:hAnsi="Arial" w:cs="Arial"/>
          <w:color w:val="231F20"/>
          <w:w w:val="111"/>
          <w:lang w:val="es-MX"/>
        </w:rPr>
        <w:t>ar el objetivo: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I) Instalación del Centro de Atención Personalizada (CAP) en espacios públicos del Distrito Federal y II) Participación en Foros, Mesas de Discusión, Ciclos de Conferencias y eventos masivos como Ferias Temáticas y Festivales.</w:t>
      </w:r>
    </w:p>
    <w:p w:rsidR="003A09BF" w:rsidRPr="00C006BE" w:rsidRDefault="003A09BF" w:rsidP="003A09BF">
      <w:pPr>
        <w:tabs>
          <w:tab w:val="left" w:pos="567"/>
        </w:tabs>
        <w:spacing w:line="360" w:lineRule="auto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Pr="00C006BE" w:rsidRDefault="003A09BF" w:rsidP="003A09BF">
      <w:pPr>
        <w:tabs>
          <w:tab w:val="left" w:pos="567"/>
        </w:tabs>
        <w:spacing w:line="360" w:lineRule="auto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>
        <w:rPr>
          <w:rFonts w:ascii="Arial" w:eastAsia="Century Gothic" w:hAnsi="Arial" w:cs="Arial"/>
          <w:color w:val="231F20"/>
          <w:w w:val="111"/>
          <w:lang w:val="es-MX"/>
        </w:rPr>
        <w:t>En el 2013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se realizaron jornadas de promoción y difusión en espacios públicos, tales como explanadas de las 16 delegacionales, inmediaciones de escuelas secundarias y preparatorias; plazas públicas, al exterior de instalaciones de Entes </w:t>
      </w:r>
      <w:r w:rsidRPr="00E43D72">
        <w:rPr>
          <w:rFonts w:ascii="Arial" w:eastAsia="Century Gothic" w:hAnsi="Arial" w:cs="Arial"/>
          <w:w w:val="111"/>
          <w:lang w:val="es-MX"/>
        </w:rPr>
        <w:t xml:space="preserve">Obligados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y otros espacios en vía pública; esto con la finalidad de generar un vínculo estrecho entre la ciudadanía y el tema de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transparencia y protección de d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atos.</w:t>
      </w:r>
    </w:p>
    <w:p w:rsidR="003A09BF" w:rsidRPr="00C006BE" w:rsidRDefault="003A09BF" w:rsidP="003A09BF">
      <w:pPr>
        <w:tabs>
          <w:tab w:val="left" w:pos="567"/>
        </w:tabs>
        <w:spacing w:line="360" w:lineRule="auto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tabs>
          <w:tab w:val="left" w:pos="567"/>
        </w:tabs>
        <w:spacing w:line="360" w:lineRule="auto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>Mediante las jornadas de instalación del Centro de Atención Personalizada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(CAP)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, impactamos a diversos sectores de la población tales como jóvenes, adultos mayores, comunidad académica y estudiantil; y población en general, incidiendo en más de 13 mil personas.</w:t>
      </w:r>
    </w:p>
    <w:p w:rsidR="003A09BF" w:rsidRPr="00C006BE" w:rsidRDefault="003A09BF" w:rsidP="003A09BF">
      <w:pPr>
        <w:spacing w:line="206" w:lineRule="exact"/>
        <w:ind w:left="1843" w:right="309"/>
        <w:jc w:val="both"/>
        <w:rPr>
          <w:rFonts w:ascii="Arial" w:eastAsia="Century Gothic" w:hAnsi="Arial" w:cs="Arial"/>
          <w:color w:val="231F20"/>
          <w:w w:val="111"/>
          <w:sz w:val="17"/>
          <w:szCs w:val="17"/>
          <w:lang w:val="es-MX"/>
        </w:rPr>
      </w:pPr>
    </w:p>
    <w:p w:rsidR="003A09BF" w:rsidRPr="00C006BE" w:rsidRDefault="003A09BF" w:rsidP="003A09BF">
      <w:pPr>
        <w:spacing w:line="206" w:lineRule="exact"/>
        <w:ind w:left="1843"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>E</w:t>
      </w:r>
      <w:r>
        <w:rPr>
          <w:rFonts w:ascii="Arial" w:eastAsia="Century Gothic" w:hAnsi="Arial" w:cs="Arial"/>
          <w:color w:val="231F20"/>
          <w:w w:val="111"/>
          <w:lang w:val="es-MX"/>
        </w:rPr>
        <w:t>n todos los casos se proporcionó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información s</w:t>
      </w:r>
      <w:r>
        <w:rPr>
          <w:rFonts w:ascii="Arial" w:eastAsia="Century Gothic" w:hAnsi="Arial" w:cs="Arial"/>
          <w:color w:val="231F20"/>
          <w:w w:val="111"/>
          <w:lang w:val="es-MX"/>
        </w:rPr>
        <w:t>obre la misión y visión del Info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DF, sus alcances, objetivos, funciones, así como lo relacionado con los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dos derechos que salvaguarda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; de igual forma se promovió el uso del sistema Infomex e Infotel, como mecanismo para obtener toda aquella información referente a los Entes </w:t>
      </w:r>
      <w:r w:rsidRPr="00E43D72">
        <w:rPr>
          <w:rFonts w:ascii="Arial" w:eastAsia="Century Gothic" w:hAnsi="Arial" w:cs="Arial"/>
          <w:w w:val="111"/>
          <w:lang w:val="es-MX"/>
        </w:rPr>
        <w:t>Obligados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.</w:t>
      </w:r>
    </w:p>
    <w:p w:rsidR="003A09BF" w:rsidRPr="00C006BE" w:rsidRDefault="003A09BF" w:rsidP="003A09BF">
      <w:pPr>
        <w:spacing w:line="206" w:lineRule="exact"/>
        <w:ind w:right="309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>
        <w:rPr>
          <w:rFonts w:ascii="Arial" w:eastAsia="Century Gothic" w:hAnsi="Arial" w:cs="Arial"/>
          <w:color w:val="231F20"/>
          <w:w w:val="111"/>
          <w:lang w:val="es-MX"/>
        </w:rPr>
        <w:t>En el desarrollo de las jornadas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se implementaron pláticas inductorias a fin de consolidar el conocimiento, importancia y aplicación de los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lastRenderedPageBreak/>
        <w:t>derechos de AIP y PDP, así como enfatizar y fomentar la cultura de la transparencia, paralelo a ello se entregaron diversos materiales informativos y se implementaron actividades lúdicas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: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lotería, sopa de letras, memo</w:t>
      </w:r>
      <w:r>
        <w:rPr>
          <w:rFonts w:ascii="Arial" w:eastAsia="Century Gothic" w:hAnsi="Arial" w:cs="Arial"/>
          <w:color w:val="231F20"/>
          <w:w w:val="111"/>
          <w:lang w:val="es-MX"/>
        </w:rPr>
        <w:t>rama, juego de boliche y ruleta;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cuyo tema central fue la Transparencia.</w:t>
      </w:r>
    </w:p>
    <w:p w:rsidR="003A09BF" w:rsidRDefault="003A09BF" w:rsidP="003A09BF">
      <w:pPr>
        <w:spacing w:line="360" w:lineRule="auto"/>
        <w:jc w:val="center"/>
        <w:rPr>
          <w:rFonts w:ascii="Arial" w:hAnsi="Arial" w:cs="Arial"/>
          <w:b/>
          <w:szCs w:val="14"/>
          <w:lang w:val="es-ES"/>
        </w:rPr>
      </w:pPr>
    </w:p>
    <w:p w:rsidR="003A09BF" w:rsidRPr="00C006BE" w:rsidRDefault="003A09BF" w:rsidP="003A09BF">
      <w:pPr>
        <w:pStyle w:val="Prrafodelista"/>
        <w:widowControl w:val="0"/>
        <w:spacing w:after="0" w:line="360" w:lineRule="auto"/>
        <w:ind w:left="0" w:right="306"/>
        <w:jc w:val="both"/>
        <w:rPr>
          <w:rFonts w:ascii="Arial" w:eastAsia="Century Gothic" w:hAnsi="Arial" w:cs="Arial"/>
          <w:color w:val="231F20"/>
          <w:w w:val="111"/>
          <w:sz w:val="24"/>
          <w:szCs w:val="24"/>
        </w:rPr>
      </w:pPr>
      <w:r w:rsidRPr="00C006BE">
        <w:rPr>
          <w:rFonts w:ascii="Arial" w:eastAsia="Century Gothic" w:hAnsi="Arial" w:cs="Arial"/>
          <w:color w:val="231F20"/>
          <w:w w:val="111"/>
          <w:sz w:val="24"/>
          <w:szCs w:val="24"/>
        </w:rPr>
        <w:t>Participación en Foros, Mesas de Discusión, Ciclos de Conferencias y eventos masivos como Ferias Temáticas y Festivales.</w:t>
      </w: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>Durante el año 2013 por medio de acciones estratégicas incidimos en más de 6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mil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personas, mediante pláticas inductorias, actividades lúdicas, orientación y asesoría</w:t>
      </w:r>
      <w:r>
        <w:rPr>
          <w:rFonts w:ascii="Arial" w:eastAsia="Century Gothic" w:hAnsi="Arial" w:cs="Arial"/>
          <w:color w:val="231F20"/>
          <w:w w:val="111"/>
          <w:lang w:val="es-MX"/>
        </w:rPr>
        <w:t>s personalizadas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. </w:t>
      </w: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>Los a</w:t>
      </w:r>
      <w:r>
        <w:rPr>
          <w:rFonts w:ascii="Arial" w:eastAsia="Century Gothic" w:hAnsi="Arial" w:cs="Arial"/>
          <w:color w:val="231F20"/>
          <w:w w:val="111"/>
          <w:lang w:val="es-MX"/>
        </w:rPr>
        <w:t>l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cances mencionados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se lograron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debido a nuestra participación activa en 16 Foros organizados por la Asamblea Legislativa del DF, los temas </w:t>
      </w:r>
      <w:r>
        <w:rPr>
          <w:rFonts w:ascii="Arial" w:eastAsia="Century Gothic" w:hAnsi="Arial" w:cs="Arial"/>
          <w:color w:val="231F20"/>
          <w:w w:val="111"/>
          <w:lang w:val="es-MX"/>
        </w:rPr>
        <w:t>versaron sobre: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la Participación Ciudadana, Derechos Humanos y Transparen</w:t>
      </w:r>
      <w:r>
        <w:rPr>
          <w:rFonts w:ascii="Arial" w:eastAsia="Century Gothic" w:hAnsi="Arial" w:cs="Arial"/>
          <w:color w:val="231F20"/>
          <w:w w:val="111"/>
          <w:lang w:val="es-MX"/>
        </w:rPr>
        <w:t>cia; nuestra intervención radicó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en la impartición de conferencias y la intervención en mesas de trabajo dirigidas a los integrantes de los Comités Ciudadanos y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Consejos de los Pueblos, así como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al público en general.</w:t>
      </w:r>
    </w:p>
    <w:p w:rsidR="003A09BF" w:rsidRPr="00C006BE" w:rsidRDefault="003A09BF" w:rsidP="003A09BF">
      <w:pPr>
        <w:spacing w:line="206" w:lineRule="exact"/>
        <w:ind w:left="1843" w:right="309"/>
        <w:jc w:val="both"/>
        <w:rPr>
          <w:rFonts w:ascii="Arial" w:eastAsia="Century Gothic" w:hAnsi="Arial" w:cs="Arial"/>
          <w:color w:val="231F20"/>
          <w:w w:val="111"/>
          <w:sz w:val="17"/>
          <w:szCs w:val="17"/>
          <w:lang w:val="es-MX"/>
        </w:rPr>
      </w:pPr>
    </w:p>
    <w:p w:rsidR="003A09BF" w:rsidRPr="00C006BE" w:rsidRDefault="003A09BF" w:rsidP="003A09BF">
      <w:pPr>
        <w:spacing w:line="206" w:lineRule="exact"/>
        <w:ind w:right="309"/>
        <w:jc w:val="both"/>
        <w:rPr>
          <w:rFonts w:ascii="Arial" w:eastAsia="Century Gothic" w:hAnsi="Arial" w:cs="Arial"/>
          <w:color w:val="231F20"/>
          <w:w w:val="111"/>
          <w:sz w:val="17"/>
          <w:szCs w:val="17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>
        <w:rPr>
          <w:rFonts w:ascii="Arial" w:eastAsia="Century Gothic" w:hAnsi="Arial" w:cs="Arial"/>
          <w:color w:val="231F20"/>
          <w:w w:val="111"/>
          <w:lang w:val="es-MX"/>
        </w:rPr>
        <w:t>De igual manera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respondimos a la invitación realizada por la comunidad LGBTTTI y participamos con la instalación de módulos informativos en dos Ciclos de Conferencias con el tema de “Diversidad y Participación Ciudadana”.</w:t>
      </w: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>Con el objeto de acercar los derechos de AIP y PDP a los diversos sectores de la Ciudad de México, intervenimos con estrategias informativas y lúdicas, en 9 Ferias Temáticas, organizadas por diversos Entes e Instancias de Gobierno, en</w:t>
      </w:r>
      <w:r>
        <w:rPr>
          <w:rFonts w:ascii="Arial" w:eastAsia="Century Gothic" w:hAnsi="Arial" w:cs="Arial"/>
          <w:color w:val="231F20"/>
          <w:w w:val="111"/>
          <w:lang w:val="es-MX"/>
        </w:rPr>
        <w:t>tre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las que destacan</w:t>
      </w:r>
      <w:r>
        <w:rPr>
          <w:rFonts w:ascii="Arial" w:eastAsia="Century Gothic" w:hAnsi="Arial" w:cs="Arial"/>
          <w:color w:val="231F20"/>
          <w:w w:val="111"/>
          <w:lang w:val="es-MX"/>
        </w:rPr>
        <w:t>: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la Feria de Servicios de Salud a ca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rgo de la Delegación Cuauhtémoc;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Feria con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lastRenderedPageBreak/>
        <w:t>motivo del “Día de la Mujer”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coordinada por el Instituto de l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as Mujeres del Distrito Federal;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Feria con motivo del “Día del Niño”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organizada po</w:t>
      </w:r>
      <w:r>
        <w:rPr>
          <w:rFonts w:ascii="Arial" w:eastAsia="Century Gothic" w:hAnsi="Arial" w:cs="Arial"/>
          <w:color w:val="231F20"/>
          <w:w w:val="111"/>
          <w:lang w:val="es-MX"/>
        </w:rPr>
        <w:t>r la PROSOC;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la “Primera Feria de la Juventud”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cuya sede f</w:t>
      </w:r>
      <w:r>
        <w:rPr>
          <w:rFonts w:ascii="Arial" w:eastAsia="Century Gothic" w:hAnsi="Arial" w:cs="Arial"/>
          <w:color w:val="231F20"/>
          <w:w w:val="111"/>
          <w:lang w:val="es-MX"/>
        </w:rPr>
        <w:t>ue la Delegación Álvaro Obregón;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la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“Feria de Ciencia y Tecnología”,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impulsada por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la Delegación Gustavo A. Madero;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“Feria del Empleo”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realizada en la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 Delegación Magdalena Contreras;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“Feria de Derechos Humanos”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efectuada </w:t>
      </w:r>
      <w:r>
        <w:rPr>
          <w:rFonts w:ascii="Arial" w:eastAsia="Century Gothic" w:hAnsi="Arial" w:cs="Arial"/>
          <w:color w:val="231F20"/>
          <w:w w:val="111"/>
          <w:lang w:val="es-MX"/>
        </w:rPr>
        <w:t xml:space="preserve">en la Delegación Álvaro Obregón; 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“Feria del Libro”</w:t>
      </w:r>
      <w:r>
        <w:rPr>
          <w:rFonts w:ascii="Arial" w:eastAsia="Century Gothic" w:hAnsi="Arial" w:cs="Arial"/>
          <w:color w:val="231F20"/>
          <w:w w:val="111"/>
          <w:lang w:val="es-MX"/>
        </w:rPr>
        <w:t>,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promovida por la Comisión de los Derechos Humanos del Distrito Federal y la Feria del libro organizada por el Poder Judicial del D.F.</w:t>
      </w:r>
    </w:p>
    <w:p w:rsidR="003A09BF" w:rsidRPr="00C006BE" w:rsidRDefault="003A09BF" w:rsidP="003A09BF">
      <w:pPr>
        <w:spacing w:line="206" w:lineRule="exact"/>
        <w:ind w:left="1843" w:right="309"/>
        <w:jc w:val="both"/>
        <w:rPr>
          <w:rFonts w:ascii="Arial" w:eastAsia="Century Gothic" w:hAnsi="Arial" w:cs="Arial"/>
          <w:color w:val="231F20"/>
          <w:w w:val="111"/>
          <w:sz w:val="17"/>
          <w:szCs w:val="17"/>
          <w:lang w:val="es-MX"/>
        </w:rPr>
      </w:pP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sz w:val="17"/>
          <w:szCs w:val="17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Finalmente, participamos como invitados en el Festival de los Derechos Humanos que organiza la CDHDF en donde la afluencia de asistentes ascendió a más de mil personas. </w:t>
      </w: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Pr="00C006BE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Cabe señalar que en todas nuestras participaciones como instancia invitada </w:t>
      </w:r>
      <w:r>
        <w:rPr>
          <w:rFonts w:ascii="Arial" w:eastAsia="Century Gothic" w:hAnsi="Arial" w:cs="Arial"/>
          <w:color w:val="231F20"/>
          <w:w w:val="111"/>
          <w:lang w:val="es-MX"/>
        </w:rPr>
        <w:t>hemos logrado superar las metas y duplicar nuestras propias expectativas de trabajo, ya que hemos promovido el DAIP y el DPDP, como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 xml:space="preserve"> mecanismos de interlocución personalizada, enfocadas en todo momento a f</w:t>
      </w:r>
      <w:r>
        <w:rPr>
          <w:rFonts w:ascii="Arial" w:eastAsia="Century Gothic" w:hAnsi="Arial" w:cs="Arial"/>
          <w:color w:val="231F20"/>
          <w:w w:val="111"/>
          <w:lang w:val="es-MX"/>
        </w:rPr>
        <w:t>omentar el interés por ser partí</w:t>
      </w:r>
      <w:r w:rsidRPr="00C006BE">
        <w:rPr>
          <w:rFonts w:ascii="Arial" w:eastAsia="Century Gothic" w:hAnsi="Arial" w:cs="Arial"/>
          <w:color w:val="231F20"/>
          <w:w w:val="111"/>
          <w:lang w:val="es-MX"/>
        </w:rPr>
        <w:t>cipes de una cultura ba</w:t>
      </w:r>
      <w:r>
        <w:rPr>
          <w:rFonts w:ascii="Arial" w:eastAsia="Century Gothic" w:hAnsi="Arial" w:cs="Arial"/>
          <w:color w:val="231F20"/>
          <w:w w:val="111"/>
          <w:lang w:val="es-MX"/>
        </w:rPr>
        <w:t>jo el marco de la Transparencia en los diversos ámbitos de la vida pública de las instituciones.</w:t>
      </w: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3A09BF" w:rsidRDefault="003A09BF" w:rsidP="003A09BF">
      <w:pPr>
        <w:spacing w:line="360" w:lineRule="auto"/>
        <w:ind w:right="306"/>
        <w:jc w:val="both"/>
        <w:rPr>
          <w:rFonts w:ascii="Arial" w:eastAsia="Century Gothic" w:hAnsi="Arial" w:cs="Arial"/>
          <w:color w:val="231F20"/>
          <w:w w:val="111"/>
          <w:lang w:val="es-MX"/>
        </w:rPr>
      </w:pPr>
    </w:p>
    <w:p w:rsidR="00C355CD" w:rsidRDefault="00202317"/>
    <w:sectPr w:rsidR="00C35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CE6"/>
    <w:multiLevelType w:val="hybridMultilevel"/>
    <w:tmpl w:val="3BEC3EEA"/>
    <w:lvl w:ilvl="0" w:tplc="849CEA9E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F"/>
    <w:rsid w:val="001A6668"/>
    <w:rsid w:val="00202317"/>
    <w:rsid w:val="003A09BF"/>
    <w:rsid w:val="008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9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BF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9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BF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Miriam.Bahena</dc:creator>
  <cp:lastModifiedBy>Ma. Fernanda.Garcia</cp:lastModifiedBy>
  <cp:revision>2</cp:revision>
  <dcterms:created xsi:type="dcterms:W3CDTF">2014-03-21T17:24:00Z</dcterms:created>
  <dcterms:modified xsi:type="dcterms:W3CDTF">2014-03-21T17:24:00Z</dcterms:modified>
</cp:coreProperties>
</file>