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9" w:rsidRDefault="00D779C9" w:rsidP="003763BF">
      <w:pPr>
        <w:tabs>
          <w:tab w:val="left" w:pos="2535"/>
          <w:tab w:val="left" w:pos="3465"/>
        </w:tabs>
        <w:spacing w:line="240" w:lineRule="auto"/>
      </w:pPr>
    </w:p>
    <w:tbl>
      <w:tblPr>
        <w:tblStyle w:val="Tablaconcuadrcula"/>
        <w:tblW w:w="100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9"/>
        <w:gridCol w:w="216"/>
        <w:gridCol w:w="424"/>
        <w:gridCol w:w="7176"/>
      </w:tblGrid>
      <w:tr w:rsidR="00D779C9" w:rsidTr="00BF2868">
        <w:trPr>
          <w:trHeight w:val="547"/>
        </w:trPr>
        <w:tc>
          <w:tcPr>
            <w:tcW w:w="10027" w:type="dxa"/>
            <w:gridSpan w:val="4"/>
          </w:tcPr>
          <w:p w:rsidR="00D779C9" w:rsidRPr="005A1625" w:rsidRDefault="00B1614E" w:rsidP="00C700BD">
            <w:pPr>
              <w:jc w:val="center"/>
              <w:rPr>
                <w:b/>
                <w:sz w:val="24"/>
                <w:szCs w:val="24"/>
              </w:rPr>
            </w:pPr>
            <w:r w:rsidRPr="00B1614E">
              <w:rPr>
                <w:b/>
                <w:sz w:val="24"/>
                <w:szCs w:val="24"/>
              </w:rPr>
              <w:t>FERIAS TEMATICAS Y CARAVANAS TERRITORIALES POR LA TRANSPARENCIA</w:t>
            </w:r>
          </w:p>
        </w:tc>
      </w:tr>
      <w:tr w:rsidR="00D779C9" w:rsidTr="00BF2868">
        <w:trPr>
          <w:trHeight w:val="505"/>
        </w:trPr>
        <w:tc>
          <w:tcPr>
            <w:tcW w:w="10027" w:type="dxa"/>
            <w:gridSpan w:val="4"/>
          </w:tcPr>
          <w:p w:rsidR="00D779C9" w:rsidRPr="005A1625" w:rsidRDefault="00D779C9" w:rsidP="00C700BD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D779C9" w:rsidRPr="007B078C" w:rsidRDefault="00B1614E" w:rsidP="00B1614E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D779C9">
              <w:rPr>
                <w:b/>
              </w:rPr>
              <w:t>-</w:t>
            </w:r>
            <w:r>
              <w:rPr>
                <w:b/>
              </w:rPr>
              <w:t>Marzo</w:t>
            </w:r>
            <w:r w:rsidR="00D779C9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</w:tr>
      <w:tr w:rsidR="00D779C9" w:rsidTr="00BF2868">
        <w:trPr>
          <w:trHeight w:val="505"/>
        </w:trPr>
        <w:tc>
          <w:tcPr>
            <w:tcW w:w="1950" w:type="dxa"/>
            <w:gridSpan w:val="2"/>
            <w:vAlign w:val="center"/>
          </w:tcPr>
          <w:p w:rsidR="00D779C9" w:rsidRDefault="00D779C9" w:rsidP="00C700BD">
            <w:pPr>
              <w:rPr>
                <w:lang w:val="es-ES"/>
              </w:rPr>
            </w:pPr>
          </w:p>
          <w:p w:rsidR="00D779C9" w:rsidRPr="00513BC2" w:rsidRDefault="00D779C9" w:rsidP="00C700BD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077" w:type="dxa"/>
            <w:gridSpan w:val="2"/>
            <w:tcBorders>
              <w:left w:val="nil"/>
            </w:tcBorders>
          </w:tcPr>
          <w:p w:rsidR="00D779C9" w:rsidRDefault="00D779C9" w:rsidP="00C700BD">
            <w:pPr>
              <w:jc w:val="both"/>
            </w:pPr>
          </w:p>
        </w:tc>
      </w:tr>
      <w:tr w:rsidR="00D779C9" w:rsidTr="00BF2868">
        <w:trPr>
          <w:trHeight w:val="744"/>
        </w:trPr>
        <w:tc>
          <w:tcPr>
            <w:tcW w:w="10027" w:type="dxa"/>
            <w:gridSpan w:val="4"/>
            <w:vAlign w:val="center"/>
          </w:tcPr>
          <w:p w:rsidR="00D779C9" w:rsidRDefault="00D779C9" w:rsidP="00C700BD">
            <w:pPr>
              <w:pStyle w:val="Prrafodelista"/>
              <w:jc w:val="both"/>
            </w:pPr>
          </w:p>
          <w:p w:rsidR="00D779C9" w:rsidRDefault="00B1614E" w:rsidP="00B1614E">
            <w:pPr>
              <w:pStyle w:val="Prrafodelista"/>
              <w:numPr>
                <w:ilvl w:val="0"/>
                <w:numId w:val="2"/>
              </w:numPr>
              <w:jc w:val="both"/>
            </w:pPr>
            <w:r w:rsidRPr="00B1614E">
              <w:t>Regionalizar en cada una de las Direcciones Territoriales de las 16 Delegaciones Políticas del Distrito Federal el DAIP y el DPDP, así como algunos servicios de los entes del GDF.</w:t>
            </w:r>
          </w:p>
          <w:p w:rsidR="004B4FCE" w:rsidRDefault="004E1AD1" w:rsidP="00700618">
            <w:pPr>
              <w:pStyle w:val="Prrafodelista"/>
              <w:numPr>
                <w:ilvl w:val="0"/>
                <w:numId w:val="2"/>
              </w:numPr>
            </w:pPr>
            <w:r w:rsidRPr="004E1AD1">
              <w:rPr>
                <w:lang w:val="es-ES"/>
              </w:rPr>
              <w:t>Participar en diversas Ferias Temáticas realizadas por los Entes Obligados, con la promoción e instalación, en la misma, de un pabellón con el tema de AIP y PDP.</w:t>
            </w:r>
            <w:r w:rsidRPr="004E1AD1">
              <w:t xml:space="preserve"> </w:t>
            </w:r>
          </w:p>
        </w:tc>
      </w:tr>
      <w:tr w:rsidR="004B4FCE" w:rsidTr="004B4FCE">
        <w:trPr>
          <w:trHeight w:val="412"/>
        </w:trPr>
        <w:tc>
          <w:tcPr>
            <w:tcW w:w="1810" w:type="dxa"/>
          </w:tcPr>
          <w:p w:rsidR="004B4FCE" w:rsidRPr="00105E64" w:rsidRDefault="004B4FCE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4B4FCE" w:rsidRPr="00513BC2" w:rsidRDefault="004B4FCE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217" w:type="dxa"/>
            <w:gridSpan w:val="3"/>
            <w:tcBorders>
              <w:left w:val="nil"/>
            </w:tcBorders>
          </w:tcPr>
          <w:p w:rsidR="004B4FCE" w:rsidRPr="00B1614E" w:rsidRDefault="004B4FCE" w:rsidP="00C700BD">
            <w:pPr>
              <w:jc w:val="both"/>
              <w:rPr>
                <w:b/>
                <w:highlight w:val="yellow"/>
              </w:rPr>
            </w:pPr>
          </w:p>
        </w:tc>
      </w:tr>
      <w:tr w:rsidR="004B4FCE" w:rsidTr="00BF2868">
        <w:trPr>
          <w:trHeight w:val="699"/>
        </w:trPr>
        <w:tc>
          <w:tcPr>
            <w:tcW w:w="10027" w:type="dxa"/>
            <w:gridSpan w:val="4"/>
          </w:tcPr>
          <w:p w:rsidR="004B4FCE" w:rsidRDefault="004B4FCE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4B4FCE" w:rsidRPr="00B1614E" w:rsidRDefault="004B4FCE" w:rsidP="00C700B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10 Ferias Temáticas</w:t>
            </w:r>
          </w:p>
          <w:p w:rsidR="004B4FCE" w:rsidRPr="00412E44" w:rsidRDefault="004B4FCE" w:rsidP="00C700B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30 Caravanas </w:t>
            </w:r>
          </w:p>
          <w:p w:rsidR="004B4FCE" w:rsidRPr="003763BF" w:rsidRDefault="004B4FCE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"/>
              </w:rPr>
            </w:pPr>
          </w:p>
        </w:tc>
      </w:tr>
      <w:tr w:rsidR="004B4FCE" w:rsidRPr="00105E64" w:rsidTr="004B4FCE">
        <w:trPr>
          <w:trHeight w:val="505"/>
        </w:trPr>
        <w:tc>
          <w:tcPr>
            <w:tcW w:w="2367" w:type="dxa"/>
            <w:gridSpan w:val="3"/>
          </w:tcPr>
          <w:p w:rsidR="004B4FCE" w:rsidRPr="003763BF" w:rsidRDefault="004B4FCE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18"/>
                <w:highlight w:val="yellow"/>
                <w:lang w:val="es-ES"/>
              </w:rPr>
            </w:pPr>
          </w:p>
          <w:p w:rsidR="004B4FCE" w:rsidRPr="00513BC2" w:rsidRDefault="004B4FCE" w:rsidP="00C700B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</w:tc>
        <w:tc>
          <w:tcPr>
            <w:tcW w:w="7660" w:type="dxa"/>
            <w:tcBorders>
              <w:left w:val="nil"/>
            </w:tcBorders>
          </w:tcPr>
          <w:p w:rsidR="004B4FCE" w:rsidRPr="00105E64" w:rsidRDefault="004B4FCE" w:rsidP="00C700BD">
            <w:pPr>
              <w:jc w:val="both"/>
              <w:rPr>
                <w:highlight w:val="yellow"/>
              </w:rPr>
            </w:pPr>
          </w:p>
        </w:tc>
      </w:tr>
      <w:tr w:rsidR="004B4FCE" w:rsidTr="00BF2868">
        <w:trPr>
          <w:trHeight w:val="75"/>
        </w:trPr>
        <w:tc>
          <w:tcPr>
            <w:tcW w:w="10027" w:type="dxa"/>
            <w:gridSpan w:val="4"/>
          </w:tcPr>
          <w:p w:rsidR="004B4FCE" w:rsidRDefault="004B4FCE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4B4FCE" w:rsidRDefault="004B4FCE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53760B">
              <w:rPr>
                <w:rFonts w:cs="Arial"/>
                <w:lang w:val="es-ES"/>
              </w:rPr>
              <w:t xml:space="preserve">Durante el </w:t>
            </w:r>
            <w:r>
              <w:rPr>
                <w:rFonts w:cs="Arial"/>
                <w:lang w:val="es-ES"/>
              </w:rPr>
              <w:t xml:space="preserve">primer </w:t>
            </w:r>
            <w:r w:rsidRPr="0053760B">
              <w:rPr>
                <w:rFonts w:cs="Arial"/>
                <w:lang w:val="es-ES"/>
              </w:rPr>
              <w:t>trimestre d</w:t>
            </w:r>
            <w:r>
              <w:rPr>
                <w:rFonts w:cs="Arial"/>
                <w:lang w:val="es-ES"/>
              </w:rPr>
              <w:t xml:space="preserve">el año en curso se ha participado en </w:t>
            </w:r>
            <w:r w:rsidRPr="0053760B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4</w:t>
            </w:r>
            <w:r w:rsidRPr="0053760B">
              <w:rPr>
                <w:rFonts w:cs="Arial"/>
                <w:b/>
                <w:lang w:val="es-ES"/>
              </w:rPr>
              <w:t xml:space="preserve"> Ferias</w:t>
            </w:r>
            <w:r>
              <w:rPr>
                <w:rFonts w:cs="Arial"/>
                <w:b/>
                <w:lang w:val="es-ES"/>
              </w:rPr>
              <w:t xml:space="preserve"> temáticas </w:t>
            </w:r>
            <w:r w:rsidRPr="00E76406">
              <w:rPr>
                <w:rFonts w:cs="Arial"/>
                <w:color w:val="000000"/>
                <w:lang w:val="es-ES"/>
              </w:rPr>
              <w:t>realizada</w:t>
            </w:r>
            <w:r>
              <w:rPr>
                <w:rFonts w:cs="Arial"/>
                <w:color w:val="000000"/>
                <w:lang w:val="es-ES"/>
              </w:rPr>
              <w:t>s</w:t>
            </w:r>
            <w:r w:rsidRPr="00E76406">
              <w:rPr>
                <w:rFonts w:cs="Arial"/>
                <w:color w:val="000000"/>
                <w:lang w:val="es-ES"/>
              </w:rPr>
              <w:t xml:space="preserve"> por entes del gobierno del Distrito Federal en las cuales se d</w:t>
            </w:r>
            <w:r>
              <w:rPr>
                <w:rFonts w:cs="Arial"/>
                <w:color w:val="000000"/>
                <w:lang w:val="es-ES"/>
              </w:rPr>
              <w:t>io</w:t>
            </w:r>
            <w:r w:rsidRPr="00E76406">
              <w:rPr>
                <w:rFonts w:cs="Arial"/>
                <w:color w:val="000000"/>
                <w:lang w:val="es-ES"/>
              </w:rPr>
              <w:t xml:space="preserve"> a conocer el DAIP y el DPDP</w:t>
            </w:r>
            <w:r>
              <w:rPr>
                <w:rFonts w:cs="Arial"/>
                <w:color w:val="000000"/>
                <w:lang w:val="es-ES"/>
              </w:rPr>
              <w:t>.</w:t>
            </w:r>
            <w:r w:rsidR="00700618">
              <w:rPr>
                <w:rFonts w:cs="Arial"/>
                <w:color w:val="000000"/>
                <w:lang w:val="es-ES"/>
              </w:rPr>
              <w:t xml:space="preserve"> En las cuales se contaron con actividades culturales</w:t>
            </w:r>
            <w:r w:rsidR="003560C9">
              <w:rPr>
                <w:rFonts w:cs="Arial"/>
                <w:color w:val="000000"/>
                <w:lang w:val="es-ES"/>
              </w:rPr>
              <w:t>, musicales</w:t>
            </w:r>
            <w:r w:rsidR="00700618">
              <w:rPr>
                <w:rFonts w:cs="Arial"/>
                <w:color w:val="000000"/>
                <w:lang w:val="es-ES"/>
              </w:rPr>
              <w:t xml:space="preserve"> y lúdicas, </w:t>
            </w:r>
            <w:r w:rsidR="00700618" w:rsidRPr="00E76406">
              <w:rPr>
                <w:rFonts w:cs="Arial"/>
                <w:lang w:val="es-ES"/>
              </w:rPr>
              <w:t>dentro de</w:t>
            </w:r>
            <w:r w:rsidR="003560C9">
              <w:rPr>
                <w:rFonts w:cs="Arial"/>
                <w:lang w:val="es-ES"/>
              </w:rPr>
              <w:t xml:space="preserve"> </w:t>
            </w:r>
            <w:r w:rsidR="00700618" w:rsidRPr="00E76406">
              <w:rPr>
                <w:rFonts w:cs="Arial"/>
                <w:lang w:val="es-ES"/>
              </w:rPr>
              <w:t>l</w:t>
            </w:r>
            <w:r w:rsidR="003560C9">
              <w:rPr>
                <w:rFonts w:cs="Arial"/>
                <w:lang w:val="es-ES"/>
              </w:rPr>
              <w:t>os</w:t>
            </w:r>
            <w:r w:rsidR="00700618" w:rsidRPr="00E76406">
              <w:rPr>
                <w:rFonts w:cs="Arial"/>
                <w:lang w:val="es-ES"/>
              </w:rPr>
              <w:t xml:space="preserve"> programa</w:t>
            </w:r>
            <w:r w:rsidR="003560C9">
              <w:rPr>
                <w:rFonts w:cs="Arial"/>
                <w:lang w:val="es-ES"/>
              </w:rPr>
              <w:t>s</w:t>
            </w:r>
            <w:r w:rsidR="00700618" w:rsidRPr="00E76406">
              <w:rPr>
                <w:rFonts w:cs="Arial"/>
                <w:lang w:val="es-ES"/>
              </w:rPr>
              <w:t xml:space="preserve"> artístico</w:t>
            </w:r>
            <w:r w:rsidR="003560C9">
              <w:rPr>
                <w:rFonts w:cs="Arial"/>
                <w:lang w:val="es-ES"/>
              </w:rPr>
              <w:t>s se conto con la presencia de diversas bandas de música así como orquestas, presentaciones culturales y actividades diversas dentro de los stands.</w:t>
            </w:r>
          </w:p>
          <w:p w:rsidR="003560C9" w:rsidRDefault="003560C9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</w:p>
          <w:p w:rsidR="00C66CE5" w:rsidRDefault="003560C9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En la Participación que tuvo el InfoDF en la Feria organizada el 14 de Febrero por el InMujeres se conto con </w:t>
            </w:r>
            <w:r w:rsidR="00C66CE5">
              <w:rPr>
                <w:rFonts w:cs="Arial"/>
                <w:lang w:val="es-ES"/>
              </w:rPr>
              <w:t>la participación de la Orquesta Nacional de Música Clásica, bandas de diversas corrientes y una representación teatral vinculada a la temática de la feria de amor sin violencia; Del mismo ente contamos con la invitación para participar en la Feria del 8 de Marzo a favor de la mujer, en la cual se conto con diferentes presentaciones artísticas y una banda contemporánea, en la misma se desarrollaron múltiples actividades lúdicas dentro de los stands.</w:t>
            </w:r>
          </w:p>
          <w:p w:rsidR="00700618" w:rsidRPr="0053760B" w:rsidRDefault="007F47AB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Con el mismo objetivo de dar a conocer los dos derechos de los cuales e</w:t>
            </w:r>
            <w:r w:rsidR="00B419D7">
              <w:rPr>
                <w:rFonts w:cs="Arial"/>
                <w:lang w:val="es-ES"/>
              </w:rPr>
              <w:t>l</w:t>
            </w:r>
            <w:r>
              <w:rPr>
                <w:rFonts w:cs="Arial"/>
                <w:lang w:val="es-ES"/>
              </w:rPr>
              <w:t xml:space="preserve"> instituto es garante, en colaboración con la Delegación La Magdalena Contr</w:t>
            </w:r>
            <w:r w:rsidR="00B419D7">
              <w:rPr>
                <w:rFonts w:cs="Arial"/>
                <w:lang w:val="es-ES"/>
              </w:rPr>
              <w:t xml:space="preserve">eras y la Delegación Iztapalapa, </w:t>
            </w:r>
            <w:r>
              <w:rPr>
                <w:rFonts w:cs="Arial"/>
                <w:lang w:val="es-ES"/>
              </w:rPr>
              <w:t>se participo en dos Ferias de oferta educativa, las cuales se realizaron en una Universidad y en la explanada Delegacional correspondientemente</w:t>
            </w:r>
            <w:r w:rsidR="00C66CE5">
              <w:rPr>
                <w:rFonts w:cs="Arial"/>
                <w:lang w:val="es-ES"/>
              </w:rPr>
              <w:t>, c</w:t>
            </w:r>
            <w:r>
              <w:rPr>
                <w:rFonts w:cs="Arial"/>
                <w:lang w:val="es-ES"/>
              </w:rPr>
              <w:t>ontando con la presencia de</w:t>
            </w:r>
            <w:r w:rsidR="00C66CE5">
              <w:rPr>
                <w:rFonts w:cs="Arial"/>
                <w:lang w:val="es-ES"/>
              </w:rPr>
              <w:t xml:space="preserve"> bandas </w:t>
            </w:r>
            <w:r>
              <w:rPr>
                <w:rFonts w:cs="Arial"/>
                <w:lang w:val="es-ES"/>
              </w:rPr>
              <w:t xml:space="preserve">de Música </w:t>
            </w:r>
            <w:r w:rsidR="00C66CE5">
              <w:rPr>
                <w:rFonts w:cs="Arial"/>
                <w:lang w:val="es-ES"/>
              </w:rPr>
              <w:t>diversas y una presentación de danza aérea.</w:t>
            </w:r>
          </w:p>
          <w:p w:rsidR="004B4FCE" w:rsidRPr="00D779C9" w:rsidRDefault="004B4FCE" w:rsidP="00C700BD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yellow"/>
                <w:lang w:val="es-ES"/>
              </w:rPr>
            </w:pPr>
          </w:p>
          <w:p w:rsidR="004B4FCE" w:rsidRDefault="004B4FCE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La afluencia total de ésta</w:t>
            </w:r>
            <w:r w:rsidR="003763BF">
              <w:rPr>
                <w:rFonts w:cs="Arial"/>
                <w:color w:val="000000"/>
                <w:lang w:val="es-ES"/>
              </w:rPr>
              <w:t>s</w:t>
            </w:r>
            <w:r>
              <w:rPr>
                <w:rFonts w:cs="Arial"/>
                <w:color w:val="000000"/>
                <w:lang w:val="es-ES"/>
              </w:rPr>
              <w:t xml:space="preserve"> feria se estima en </w:t>
            </w:r>
            <w:r w:rsidR="003763BF">
              <w:rPr>
                <w:rFonts w:cs="Arial"/>
                <w:color w:val="000000"/>
                <w:lang w:val="es-ES"/>
              </w:rPr>
              <w:t>1,100 personas atendidas.</w:t>
            </w:r>
          </w:p>
          <w:p w:rsidR="003763BF" w:rsidRDefault="003763BF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3763BF" w:rsidRDefault="003763BF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3763BF" w:rsidRDefault="003763BF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700618" w:rsidRDefault="00700618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700618" w:rsidRDefault="00700618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700618" w:rsidRDefault="00700618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700618" w:rsidRDefault="00700618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700618" w:rsidRDefault="00700618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C648F4" w:rsidRDefault="00C648F4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tbl>
            <w:tblPr>
              <w:tblStyle w:val="Tablaconcuadrcula1"/>
              <w:tblpPr w:leftFromText="141" w:rightFromText="141" w:horzAnchor="margin" w:tblpX="-1463" w:tblpY="735"/>
              <w:tblW w:w="10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72"/>
              <w:gridCol w:w="2392"/>
              <w:gridCol w:w="2268"/>
              <w:gridCol w:w="1560"/>
              <w:gridCol w:w="2393"/>
            </w:tblGrid>
            <w:tr w:rsidR="00700618" w:rsidRPr="004E5303" w:rsidTr="00C700BD">
              <w:trPr>
                <w:trHeight w:val="1438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F47AB" w:rsidP="00700618">
                  <w:pPr>
                    <w:jc w:val="center"/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  <w:r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  <w:t>P</w:t>
                  </w:r>
                  <w:r w:rsidR="00700618" w:rsidRPr="004E5303"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  <w:t>ECHA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00618" w:rsidP="00700618">
                  <w:pPr>
                    <w:jc w:val="center"/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  <w:r w:rsidRPr="004E5303"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00618" w:rsidP="00700618">
                  <w:pPr>
                    <w:jc w:val="center"/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  <w:r w:rsidRPr="004E5303"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  <w:t>UBICACIÓN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00618" w:rsidP="00700618">
                  <w:pPr>
                    <w:jc w:val="center"/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  <w:r w:rsidRPr="004E5303"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  <w:t>DURACIÓN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00618" w:rsidP="00700618">
                  <w:pPr>
                    <w:jc w:val="center"/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</w:p>
                <w:p w:rsidR="00700618" w:rsidRPr="004E5303" w:rsidRDefault="00700618" w:rsidP="00700618">
                  <w:pPr>
                    <w:jc w:val="center"/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  <w:r w:rsidRPr="004E5303">
                    <w:rPr>
                      <w:b/>
                      <w:color w:val="4A442A" w:themeColor="background2" w:themeShade="40"/>
                      <w:sz w:val="20"/>
                      <w:szCs w:val="20"/>
                    </w:rPr>
                    <w:t>POBLACIÓN BENEFICIADA</w:t>
                  </w:r>
                </w:p>
                <w:p w:rsidR="00700618" w:rsidRPr="004E5303" w:rsidRDefault="00700618" w:rsidP="00700618">
                  <w:pPr>
                    <w:jc w:val="center"/>
                    <w:rPr>
                      <w:b/>
                      <w:color w:val="4A442A" w:themeColor="background2" w:themeShade="40"/>
                      <w:sz w:val="18"/>
                      <w:szCs w:val="18"/>
                    </w:rPr>
                  </w:pPr>
                  <w:r w:rsidRPr="004E5303">
                    <w:rPr>
                      <w:b/>
                      <w:color w:val="4A442A" w:themeColor="background2" w:themeShade="40"/>
                      <w:sz w:val="18"/>
                      <w:szCs w:val="18"/>
                    </w:rPr>
                    <w:t>(personas atendidas/personas visitadas)</w:t>
                  </w:r>
                </w:p>
                <w:p w:rsidR="00700618" w:rsidRPr="004E5303" w:rsidRDefault="00700618" w:rsidP="00700618">
                  <w:pPr>
                    <w:jc w:val="center"/>
                    <w:rPr>
                      <w:b/>
                      <w:color w:val="4A442A" w:themeColor="background2" w:themeShade="40"/>
                      <w:sz w:val="18"/>
                      <w:szCs w:val="18"/>
                    </w:rPr>
                  </w:pPr>
                </w:p>
              </w:tc>
            </w:tr>
            <w:tr w:rsidR="00700618" w:rsidRPr="00F62DFE" w:rsidTr="00C700BD">
              <w:trPr>
                <w:trHeight w:val="138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 w:rsidRPr="004E5303">
                    <w:t>14 de febrero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 w:rsidRPr="004E5303">
                    <w:t>Instalación del CAP en la Feria organizada por el Inmujer en el bosque de Chapultepec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shd w:val="clear" w:color="auto" w:fill="FFFFFF"/>
                    <w:spacing w:line="270" w:lineRule="atLeast"/>
                    <w:jc w:val="center"/>
                    <w:textAlignment w:val="top"/>
                  </w:pPr>
                  <w:r>
                    <w:t>Puerta de los Leones en el Bosque de Chapultepec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 w:rsidRPr="004E5303">
                    <w:t>7 horas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8C3D0D" w:rsidRDefault="00700618" w:rsidP="00700618">
                  <w:pPr>
                    <w:jc w:val="center"/>
                  </w:pPr>
                  <w:r w:rsidRPr="008C3D0D">
                    <w:t>300</w:t>
                  </w:r>
                </w:p>
              </w:tc>
            </w:tr>
            <w:tr w:rsidR="00700618" w:rsidRPr="004E5303" w:rsidTr="00C700BD">
              <w:trPr>
                <w:trHeight w:val="1399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 w:rsidRPr="004E5303">
                    <w:t>19 de febrero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2A46F0" w:rsidRDefault="00700618" w:rsidP="00700618">
                  <w:pPr>
                    <w:jc w:val="center"/>
                    <w:rPr>
                      <w:u w:val="words"/>
                    </w:rPr>
                  </w:pPr>
                  <w:r w:rsidRPr="004E5303">
                    <w:t>Instalación del CAP en la feria educativa organizada por la delegación Iztapalapa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shd w:val="clear" w:color="auto" w:fill="FFFFFF"/>
                    <w:spacing w:line="270" w:lineRule="atLeast"/>
                    <w:jc w:val="center"/>
                    <w:textAlignment w:val="top"/>
                  </w:pPr>
                  <w:r w:rsidRPr="004E5303">
                    <w:t xml:space="preserve">Explana delegacional ubicada en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E5303">
                    <w:t>Aldama no. 63, Col. Barrio San Lucas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 w:rsidRPr="004E5303">
                    <w:t>6 horas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8C3D0D" w:rsidRDefault="00700618" w:rsidP="00700618">
                  <w:pPr>
                    <w:jc w:val="center"/>
                  </w:pPr>
                  <w:r w:rsidRPr="008C3D0D">
                    <w:t>250</w:t>
                  </w:r>
                </w:p>
              </w:tc>
            </w:tr>
            <w:tr w:rsidR="00700618" w:rsidRPr="004E5303" w:rsidTr="00C700BD">
              <w:trPr>
                <w:trHeight w:val="1832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>
                    <w:t>25</w:t>
                  </w:r>
                  <w:r w:rsidRPr="004E5303">
                    <w:t xml:space="preserve"> de febrero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 w:rsidRPr="004E5303">
                    <w:t>Instalación del CAP en</w:t>
                  </w:r>
                  <w:r>
                    <w:t xml:space="preserve"> la feria educativa organizada por la delegación Magdalena Contreras y escuelas de la demarcación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shd w:val="clear" w:color="auto" w:fill="FFFFFF"/>
                    <w:spacing w:line="270" w:lineRule="atLeast"/>
                    <w:jc w:val="center"/>
                    <w:textAlignment w:val="top"/>
                  </w:pPr>
                  <w:r>
                    <w:t>Av. San Jerónimo 2625,</w:t>
                  </w:r>
                  <w:r w:rsidRPr="003B74DE">
                    <w:t xml:space="preserve"> Col. San Bernabé Del. Magdalena Contreras.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 w:rsidRPr="004E5303">
                    <w:t>6 horas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8C3D0D" w:rsidRDefault="00700618" w:rsidP="00700618">
                  <w:pPr>
                    <w:jc w:val="center"/>
                  </w:pPr>
                  <w:r w:rsidRPr="008C3D0D">
                    <w:t>190</w:t>
                  </w:r>
                </w:p>
              </w:tc>
            </w:tr>
            <w:tr w:rsidR="00700618" w:rsidRPr="004E5303" w:rsidTr="00C700BD">
              <w:trPr>
                <w:trHeight w:val="277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00618" w:rsidP="00700618">
                  <w:pPr>
                    <w:jc w:val="center"/>
                    <w:rPr>
                      <w:sz w:val="20"/>
                      <w:szCs w:val="20"/>
                    </w:rPr>
                  </w:pPr>
                  <w:r w:rsidRPr="004E5303">
                    <w:rPr>
                      <w:sz w:val="20"/>
                      <w:szCs w:val="20"/>
                    </w:rPr>
                    <w:t>SUBTOTAL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>
                    <w:t>3</w:t>
                  </w:r>
                  <w:r w:rsidRPr="004E5303">
                    <w:t xml:space="preserve"> actividades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</w:p>
              </w:tc>
            </w:tr>
            <w:tr w:rsidR="00700618" w:rsidRPr="004E5303" w:rsidTr="00C700BD">
              <w:trPr>
                <w:trHeight w:val="1126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</w:p>
                <w:p w:rsidR="00700618" w:rsidRPr="004E5303" w:rsidRDefault="00700618" w:rsidP="00700618">
                  <w:pPr>
                    <w:jc w:val="center"/>
                  </w:pPr>
                  <w:r>
                    <w:t>8 de marzo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 w:rsidRPr="004E5303">
                    <w:t xml:space="preserve">Instalación del </w:t>
                  </w:r>
                  <w:r>
                    <w:t>CAP en la Feria organizada por el Inmujres DF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>
                    <w:t>Monumento a la Revolución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>
                    <w:t>6</w:t>
                  </w:r>
                  <w:r w:rsidRPr="004E5303">
                    <w:t xml:space="preserve"> horas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00618" w:rsidRPr="004E5303" w:rsidRDefault="00700618" w:rsidP="00700618">
                  <w:pPr>
                    <w:jc w:val="center"/>
                  </w:pPr>
                  <w:r>
                    <w:t>150</w:t>
                  </w:r>
                </w:p>
              </w:tc>
            </w:tr>
            <w:tr w:rsidR="00700618" w:rsidRPr="004E5303" w:rsidTr="00C700BD">
              <w:trPr>
                <w:trHeight w:val="246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D64900" w:rsidRDefault="00700618" w:rsidP="00700618">
                  <w:pPr>
                    <w:jc w:val="center"/>
                    <w:rPr>
                      <w:sz w:val="20"/>
                      <w:szCs w:val="20"/>
                    </w:rPr>
                  </w:pPr>
                  <w:r w:rsidRPr="00D64900">
                    <w:rPr>
                      <w:sz w:val="20"/>
                      <w:szCs w:val="20"/>
                    </w:rPr>
                    <w:t>SUBTOTAL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D64900" w:rsidRDefault="00700618" w:rsidP="007006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</w:t>
                  </w:r>
                  <w:r w:rsidRPr="00D64900">
                    <w:rPr>
                      <w:sz w:val="20"/>
                      <w:szCs w:val="20"/>
                    </w:rPr>
                    <w:t xml:space="preserve"> actividades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D64900" w:rsidRDefault="00700618" w:rsidP="007006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D64900" w:rsidRDefault="00700618" w:rsidP="007006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D64900" w:rsidRDefault="00700618" w:rsidP="007006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0618" w:rsidRPr="004E5303" w:rsidTr="00C700BD">
              <w:trPr>
                <w:trHeight w:val="262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D64900" w:rsidRDefault="00700618" w:rsidP="00700618">
                  <w:pPr>
                    <w:jc w:val="center"/>
                    <w:rPr>
                      <w:sz w:val="20"/>
                      <w:szCs w:val="20"/>
                    </w:rPr>
                  </w:pPr>
                  <w:r w:rsidRPr="00D64900"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6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D64900" w:rsidRDefault="00700618" w:rsidP="0070061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D64900">
                    <w:rPr>
                      <w:sz w:val="20"/>
                      <w:szCs w:val="20"/>
                    </w:rPr>
                    <w:t xml:space="preserve"> actividades en el </w:t>
                  </w:r>
                  <w:r>
                    <w:rPr>
                      <w:sz w:val="20"/>
                      <w:szCs w:val="20"/>
                    </w:rPr>
                    <w:t>primer</w:t>
                  </w:r>
                  <w:r w:rsidRPr="00D64900">
                    <w:rPr>
                      <w:sz w:val="20"/>
                      <w:szCs w:val="20"/>
                    </w:rPr>
                    <w:t xml:space="preserve"> trimestre de 201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vAlign w:val="center"/>
                </w:tcPr>
                <w:p w:rsidR="00700618" w:rsidRPr="00D64900" w:rsidRDefault="00700618" w:rsidP="007006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1,150</w:t>
                  </w:r>
                </w:p>
              </w:tc>
            </w:tr>
          </w:tbl>
          <w:p w:rsidR="00700618" w:rsidRPr="00513BC2" w:rsidRDefault="00700618" w:rsidP="003763B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C700BD" w:rsidRDefault="00C700BD" w:rsidP="00BF2868"/>
    <w:sectPr w:rsidR="00C700BD" w:rsidSect="00C700BD">
      <w:headerReference w:type="default" r:id="rId7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A2" w:rsidRDefault="004835A2" w:rsidP="009553A5">
      <w:pPr>
        <w:spacing w:after="0" w:line="240" w:lineRule="auto"/>
      </w:pPr>
      <w:r>
        <w:separator/>
      </w:r>
    </w:p>
  </w:endnote>
  <w:endnote w:type="continuationSeparator" w:id="0">
    <w:p w:rsidR="004835A2" w:rsidRDefault="004835A2" w:rsidP="0095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A2" w:rsidRDefault="004835A2" w:rsidP="009553A5">
      <w:pPr>
        <w:spacing w:after="0" w:line="240" w:lineRule="auto"/>
      </w:pPr>
      <w:r>
        <w:separator/>
      </w:r>
    </w:p>
  </w:footnote>
  <w:footnote w:type="continuationSeparator" w:id="0">
    <w:p w:rsidR="004835A2" w:rsidRDefault="004835A2" w:rsidP="0095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BD" w:rsidRPr="00514228" w:rsidRDefault="00AA6714" w:rsidP="00C700BD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-171450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C700BD" w:rsidRPr="00D2545D" w:rsidRDefault="00AA6714" w:rsidP="00C700BD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y Protección de Datos Personales del Distrito Federal</w:t>
    </w:r>
  </w:p>
  <w:p w:rsidR="00C700BD" w:rsidRDefault="00AA6714" w:rsidP="00C700BD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C700BD" w:rsidRDefault="00C700BD" w:rsidP="00C700BD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  <w:p w:rsidR="00C700BD" w:rsidRPr="00514228" w:rsidRDefault="00C700BD" w:rsidP="00C700BD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5pt;height:12.5pt" o:bullet="t">
        <v:imagedata r:id="rId1" o:title="BD21304_"/>
      </v:shape>
    </w:pict>
  </w:numPicBullet>
  <w:abstractNum w:abstractNumId="0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8A7"/>
    <w:multiLevelType w:val="hybridMultilevel"/>
    <w:tmpl w:val="3648C1F4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C9"/>
    <w:rsid w:val="00007B3F"/>
    <w:rsid w:val="000158E6"/>
    <w:rsid w:val="000626DC"/>
    <w:rsid w:val="000744BA"/>
    <w:rsid w:val="00085B2B"/>
    <w:rsid w:val="000F3D7D"/>
    <w:rsid w:val="00106D12"/>
    <w:rsid w:val="00125C40"/>
    <w:rsid w:val="00134DE6"/>
    <w:rsid w:val="00172B7B"/>
    <w:rsid w:val="001D0BF1"/>
    <w:rsid w:val="002A46F0"/>
    <w:rsid w:val="002C2609"/>
    <w:rsid w:val="0031470B"/>
    <w:rsid w:val="003560C9"/>
    <w:rsid w:val="003763BF"/>
    <w:rsid w:val="003B02EB"/>
    <w:rsid w:val="003B301F"/>
    <w:rsid w:val="003C2F40"/>
    <w:rsid w:val="003F3250"/>
    <w:rsid w:val="00405878"/>
    <w:rsid w:val="004835A2"/>
    <w:rsid w:val="004B4FCE"/>
    <w:rsid w:val="004B63AC"/>
    <w:rsid w:val="004C743D"/>
    <w:rsid w:val="004E1AD1"/>
    <w:rsid w:val="0053760B"/>
    <w:rsid w:val="00541C60"/>
    <w:rsid w:val="0057527E"/>
    <w:rsid w:val="00592EC5"/>
    <w:rsid w:val="00643A92"/>
    <w:rsid w:val="006B61CF"/>
    <w:rsid w:val="00700618"/>
    <w:rsid w:val="00745B3E"/>
    <w:rsid w:val="007F47AB"/>
    <w:rsid w:val="007F4CF4"/>
    <w:rsid w:val="007F6AAE"/>
    <w:rsid w:val="00802644"/>
    <w:rsid w:val="00904B62"/>
    <w:rsid w:val="009553A5"/>
    <w:rsid w:val="00A16BBB"/>
    <w:rsid w:val="00A451AD"/>
    <w:rsid w:val="00A5509C"/>
    <w:rsid w:val="00AA6714"/>
    <w:rsid w:val="00B07A2F"/>
    <w:rsid w:val="00B1614E"/>
    <w:rsid w:val="00B419D7"/>
    <w:rsid w:val="00B97D55"/>
    <w:rsid w:val="00BF2868"/>
    <w:rsid w:val="00C15DB3"/>
    <w:rsid w:val="00C34337"/>
    <w:rsid w:val="00C648F4"/>
    <w:rsid w:val="00C65292"/>
    <w:rsid w:val="00C66CE5"/>
    <w:rsid w:val="00C700BD"/>
    <w:rsid w:val="00CB2296"/>
    <w:rsid w:val="00D779C9"/>
    <w:rsid w:val="00D909F0"/>
    <w:rsid w:val="00E5079F"/>
    <w:rsid w:val="00E76406"/>
    <w:rsid w:val="00EA7FB7"/>
    <w:rsid w:val="00EB174D"/>
    <w:rsid w:val="00F71034"/>
    <w:rsid w:val="00FC4C00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C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9C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79C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779C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Noel.Ayala</cp:lastModifiedBy>
  <cp:revision>2</cp:revision>
  <cp:lastPrinted>2015-03-26T21:28:00Z</cp:lastPrinted>
  <dcterms:created xsi:type="dcterms:W3CDTF">2015-04-06T16:16:00Z</dcterms:created>
  <dcterms:modified xsi:type="dcterms:W3CDTF">2015-04-06T17:36:00Z</dcterms:modified>
</cp:coreProperties>
</file>